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cs="宋体"/>
          <w:b/>
          <w:bCs/>
          <w:sz w:val="44"/>
          <w:szCs w:val="44"/>
        </w:rPr>
      </w:pPr>
    </w:p>
    <w:p>
      <w:pPr>
        <w:spacing w:line="560" w:lineRule="exact"/>
        <w:rPr>
          <w:rFonts w:ascii="宋体" w:cs="宋体"/>
          <w:b/>
          <w:bCs/>
          <w:sz w:val="44"/>
          <w:szCs w:val="44"/>
        </w:rPr>
      </w:pPr>
    </w:p>
    <w:p>
      <w:pPr>
        <w:spacing w:line="560" w:lineRule="exact"/>
        <w:jc w:val="center"/>
        <w:rPr>
          <w:rFonts w:ascii="宋体" w:cs="宋体"/>
          <w:b/>
          <w:bCs/>
          <w:sz w:val="44"/>
          <w:szCs w:val="44"/>
        </w:rPr>
      </w:pPr>
    </w:p>
    <w:p>
      <w:pPr>
        <w:spacing w:line="560" w:lineRule="exact"/>
        <w:jc w:val="center"/>
        <w:rPr>
          <w:rFonts w:ascii="宋体" w:cs="宋体"/>
          <w:b/>
          <w:bCs/>
          <w:sz w:val="32"/>
          <w:szCs w:val="32"/>
        </w:rPr>
      </w:pPr>
    </w:p>
    <w:p>
      <w:pPr>
        <w:spacing w:line="560" w:lineRule="exact"/>
        <w:jc w:val="center"/>
        <w:rPr>
          <w:rFonts w:ascii="宋体" w:cs="宋体"/>
          <w:b/>
          <w:bCs/>
          <w:sz w:val="32"/>
          <w:szCs w:val="32"/>
        </w:rPr>
      </w:pPr>
    </w:p>
    <w:p>
      <w:pPr>
        <w:spacing w:line="240" w:lineRule="atLeast"/>
        <w:rPr>
          <w:rFonts w:ascii="宋体" w:cs="宋体"/>
          <w:b/>
          <w:bCs/>
          <w:sz w:val="32"/>
          <w:szCs w:val="32"/>
        </w:rPr>
      </w:pPr>
    </w:p>
    <w:p>
      <w:pPr>
        <w:spacing w:line="400" w:lineRule="exact"/>
        <w:jc w:val="center"/>
        <w:rPr>
          <w:rFonts w:ascii="仿宋" w:hAnsi="仿宋" w:eastAsia="仿宋" w:cs="宋体"/>
          <w:bCs/>
          <w:sz w:val="32"/>
          <w:szCs w:val="32"/>
        </w:rPr>
      </w:pPr>
      <w:r>
        <w:rPr>
          <w:rFonts w:hint="eastAsia" w:ascii="仿宋" w:hAnsi="仿宋" w:eastAsia="仿宋" w:cs="宋体"/>
          <w:bCs/>
          <w:sz w:val="32"/>
          <w:szCs w:val="32"/>
        </w:rPr>
        <w:t>抚县农发</w:t>
      </w:r>
      <w:r>
        <w:rPr>
          <w:rFonts w:ascii="仿宋" w:hAnsi="仿宋" w:eastAsia="仿宋" w:cs="宋体"/>
          <w:bCs/>
          <w:sz w:val="32"/>
          <w:szCs w:val="32"/>
        </w:rPr>
        <w:t>[2019]57</w:t>
      </w:r>
      <w:r>
        <w:rPr>
          <w:rFonts w:hint="eastAsia" w:ascii="仿宋" w:hAnsi="仿宋" w:eastAsia="仿宋" w:cs="宋体"/>
          <w:bCs/>
          <w:sz w:val="32"/>
          <w:szCs w:val="32"/>
        </w:rPr>
        <w:t>号</w:t>
      </w:r>
    </w:p>
    <w:p>
      <w:pPr>
        <w:spacing w:line="400" w:lineRule="exact"/>
        <w:jc w:val="center"/>
        <w:rPr>
          <w:rFonts w:ascii="宋体" w:cs="宋体"/>
          <w:b/>
          <w:bCs/>
          <w:sz w:val="32"/>
          <w:szCs w:val="32"/>
        </w:rPr>
      </w:pPr>
    </w:p>
    <w:p>
      <w:pPr>
        <w:spacing w:line="600" w:lineRule="exact"/>
        <w:rPr>
          <w:rFonts w:ascii="仿宋_GB2312" w:eastAsia="仿宋_GB2312"/>
          <w:b/>
          <w:kern w:val="1"/>
          <w:sz w:val="44"/>
          <w:szCs w:val="44"/>
        </w:rPr>
      </w:pPr>
    </w:p>
    <w:p>
      <w:pPr>
        <w:spacing w:before="240" w:after="60"/>
        <w:jc w:val="center"/>
        <w:outlineLvl w:val="0"/>
        <w:rPr>
          <w:rFonts w:ascii="宋体"/>
          <w:b/>
          <w:bCs/>
          <w:sz w:val="44"/>
          <w:szCs w:val="44"/>
        </w:rPr>
      </w:pPr>
      <w:r>
        <w:rPr>
          <w:rFonts w:hint="eastAsia" w:ascii="宋体" w:hAnsi="宋体"/>
          <w:b/>
          <w:bCs/>
          <w:sz w:val="44"/>
          <w:szCs w:val="44"/>
        </w:rPr>
        <w:t>关于印发《抚顺县农业农村局重大行政执法决定法制审核制度》的通知</w:t>
      </w:r>
    </w:p>
    <w:p>
      <w:pPr>
        <w:spacing w:before="240" w:after="60"/>
        <w:jc w:val="center"/>
        <w:outlineLvl w:val="0"/>
        <w:rPr>
          <w:rFonts w:ascii="仿宋" w:hAnsi="仿宋" w:eastAsia="仿宋"/>
          <w:b/>
          <w:bCs/>
          <w:sz w:val="32"/>
          <w:szCs w:val="32"/>
        </w:rPr>
      </w:pPr>
    </w:p>
    <w:p>
      <w:pPr>
        <w:rPr>
          <w:rFonts w:ascii="仿宋" w:hAnsi="仿宋" w:eastAsia="仿宋"/>
          <w:sz w:val="32"/>
          <w:szCs w:val="32"/>
        </w:rPr>
      </w:pPr>
      <w:r>
        <w:rPr>
          <w:rFonts w:hint="eastAsia" w:ascii="仿宋" w:hAnsi="仿宋" w:eastAsia="仿宋"/>
          <w:sz w:val="32"/>
          <w:szCs w:val="32"/>
        </w:rPr>
        <w:t>局机关各科室、县农业综合执法队、农业发展服务中心：</w:t>
      </w:r>
    </w:p>
    <w:p>
      <w:pPr>
        <w:ind w:firstLine="640" w:firstLineChars="200"/>
        <w:rPr>
          <w:rFonts w:ascii="仿宋" w:hAnsi="仿宋" w:eastAsia="仿宋"/>
          <w:sz w:val="32"/>
          <w:szCs w:val="32"/>
        </w:rPr>
      </w:pPr>
      <w:r>
        <w:rPr>
          <w:rFonts w:hint="eastAsia" w:ascii="仿宋" w:hAnsi="仿宋" w:eastAsia="仿宋"/>
          <w:sz w:val="32"/>
          <w:szCs w:val="32"/>
        </w:rPr>
        <w:t>现将《抚顺县农业农村局重大行政执法决定法制审核制度》印发给你们，请遵照执行。</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right"/>
        <w:rPr>
          <w:rFonts w:ascii="仿宋" w:hAnsi="仿宋" w:eastAsia="仿宋"/>
          <w:sz w:val="32"/>
          <w:szCs w:val="32"/>
        </w:rPr>
      </w:pPr>
      <w:r>
        <w:rPr>
          <w:rFonts w:hint="eastAsia" w:ascii="仿宋" w:hAnsi="仿宋" w:eastAsia="仿宋"/>
          <w:sz w:val="32"/>
          <w:szCs w:val="32"/>
        </w:rPr>
        <w:t>抚顺县农业农村局</w:t>
      </w:r>
    </w:p>
    <w:p>
      <w:pPr>
        <w:jc w:val="right"/>
        <w:rPr>
          <w:rFonts w:ascii="仿宋" w:hAnsi="仿宋" w:eastAsia="仿宋" w:cs="仿宋_GB2312"/>
          <w:sz w:val="32"/>
          <w:szCs w:val="32"/>
        </w:rPr>
      </w:pPr>
      <w:r>
        <w:rPr>
          <w:rFonts w:ascii="仿宋" w:hAnsi="仿宋" w:eastAsia="仿宋"/>
          <w:sz w:val="32"/>
          <w:szCs w:val="32"/>
        </w:rPr>
        <w:t xml:space="preserve"> </w:t>
      </w:r>
      <w:r>
        <w:rPr>
          <w:rFonts w:hint="eastAsia" w:ascii="仿宋" w:hAnsi="仿宋" w:eastAsia="仿宋"/>
          <w:sz w:val="32"/>
          <w:szCs w:val="32"/>
        </w:rPr>
        <w:t>二</w:t>
      </w:r>
      <w:r>
        <w:rPr>
          <w:rFonts w:hint="eastAsia" w:ascii="仿宋" w:hAnsi="仿宋" w:eastAsia="仿宋" w:cs="宋体"/>
          <w:sz w:val="32"/>
          <w:szCs w:val="32"/>
        </w:rPr>
        <w:t>〇</w:t>
      </w:r>
      <w:r>
        <w:rPr>
          <w:rFonts w:hint="eastAsia" w:ascii="仿宋" w:hAnsi="仿宋" w:eastAsia="仿宋" w:cs="仿宋_GB2312"/>
          <w:sz w:val="32"/>
          <w:szCs w:val="32"/>
        </w:rPr>
        <w:t>一九年八月八日</w:t>
      </w:r>
    </w:p>
    <w:p>
      <w:pPr>
        <w:jc w:val="center"/>
        <w:rPr>
          <w:rFonts w:ascii="宋体"/>
          <w:b/>
          <w:sz w:val="44"/>
          <w:szCs w:val="44"/>
        </w:rPr>
      </w:pPr>
      <w:r>
        <w:rPr>
          <w:rFonts w:hint="eastAsia" w:ascii="宋体" w:hAnsi="宋体"/>
          <w:b/>
          <w:sz w:val="44"/>
          <w:szCs w:val="44"/>
        </w:rPr>
        <w:t>抚顺县农业农村局重大行政执法决定法制审核制度</w:t>
      </w:r>
    </w:p>
    <w:p>
      <w:pPr>
        <w:jc w:val="center"/>
        <w:rPr>
          <w:rFonts w:ascii="宋体"/>
          <w:sz w:val="44"/>
          <w:szCs w:val="44"/>
        </w:rPr>
      </w:pPr>
    </w:p>
    <w:p>
      <w:pPr>
        <w:ind w:firstLine="640" w:firstLineChars="200"/>
        <w:rPr>
          <w:rFonts w:ascii="仿宋" w:hAnsi="仿宋" w:eastAsia="仿宋"/>
          <w:sz w:val="32"/>
          <w:szCs w:val="32"/>
        </w:rPr>
      </w:pPr>
      <w:r>
        <w:rPr>
          <w:rFonts w:hint="eastAsia" w:ascii="仿宋" w:hAnsi="仿宋" w:eastAsia="仿宋"/>
          <w:sz w:val="32"/>
          <w:szCs w:val="32"/>
        </w:rPr>
        <w:t>第一条为保护公民、法人和其他组织的合法权益，严格规范公正文明执法，加强对重大行政执法行为的监督，根据《辽宁省重大行政执法决定法制审核办法》，制定本制度。</w:t>
      </w:r>
    </w:p>
    <w:p>
      <w:pPr>
        <w:ind w:firstLine="640" w:firstLineChars="200"/>
        <w:rPr>
          <w:rFonts w:ascii="仿宋" w:hAnsi="仿宋" w:eastAsia="仿宋"/>
          <w:sz w:val="32"/>
          <w:szCs w:val="32"/>
        </w:rPr>
      </w:pPr>
      <w:r>
        <w:rPr>
          <w:rFonts w:hint="eastAsia" w:ascii="仿宋" w:hAnsi="仿宋" w:eastAsia="仿宋"/>
          <w:sz w:val="32"/>
          <w:szCs w:val="32"/>
        </w:rPr>
        <w:t>第二条农业农村局或者农业综合执法队做出的重大行政执法决定应当经过本局法制审核机构法制审核通过，凡未经本局法制审核或者法制审核未通过的行政执法拟处理意见，不得做出行政执法决定。</w:t>
      </w:r>
    </w:p>
    <w:p>
      <w:pPr>
        <w:ind w:firstLine="640" w:firstLineChars="200"/>
        <w:rPr>
          <w:rFonts w:ascii="仿宋" w:hAnsi="仿宋" w:eastAsia="仿宋"/>
          <w:sz w:val="32"/>
          <w:szCs w:val="32"/>
        </w:rPr>
      </w:pPr>
      <w:r>
        <w:rPr>
          <w:rFonts w:hint="eastAsia" w:ascii="仿宋" w:hAnsi="仿宋" w:eastAsia="仿宋"/>
          <w:sz w:val="32"/>
          <w:szCs w:val="32"/>
        </w:rPr>
        <w:t>第三条法制审核应当坚持以下原则：</w:t>
      </w:r>
    </w:p>
    <w:p>
      <w:pPr>
        <w:ind w:firstLine="640" w:firstLineChars="200"/>
        <w:rPr>
          <w:rFonts w:ascii="仿宋" w:hAnsi="仿宋" w:eastAsia="仿宋"/>
          <w:sz w:val="32"/>
          <w:szCs w:val="32"/>
        </w:rPr>
      </w:pPr>
      <w:r>
        <w:rPr>
          <w:rFonts w:hint="eastAsia" w:ascii="仿宋" w:hAnsi="仿宋" w:eastAsia="仿宋"/>
          <w:sz w:val="32"/>
          <w:szCs w:val="32"/>
        </w:rPr>
        <w:t>（一）依法审核原则；</w:t>
      </w:r>
    </w:p>
    <w:p>
      <w:pPr>
        <w:ind w:firstLine="640" w:firstLineChars="200"/>
        <w:rPr>
          <w:rFonts w:ascii="仿宋" w:hAnsi="仿宋" w:eastAsia="仿宋"/>
          <w:sz w:val="32"/>
          <w:szCs w:val="32"/>
        </w:rPr>
      </w:pPr>
      <w:r>
        <w:rPr>
          <w:rFonts w:hint="eastAsia" w:ascii="仿宋" w:hAnsi="仿宋" w:eastAsia="仿宋"/>
          <w:sz w:val="32"/>
          <w:szCs w:val="32"/>
        </w:rPr>
        <w:t>（二）全面审核原则。审查的内容包括主体资格、事实、法律适用，执法程序等事项；</w:t>
      </w:r>
    </w:p>
    <w:p>
      <w:pPr>
        <w:ind w:firstLine="640" w:firstLineChars="200"/>
        <w:rPr>
          <w:rFonts w:ascii="仿宋" w:hAnsi="仿宋" w:eastAsia="仿宋"/>
          <w:sz w:val="32"/>
          <w:szCs w:val="32"/>
        </w:rPr>
      </w:pPr>
      <w:r>
        <w:rPr>
          <w:rFonts w:hint="eastAsia" w:ascii="仿宋" w:hAnsi="仿宋" w:eastAsia="仿宋"/>
          <w:sz w:val="32"/>
          <w:szCs w:val="32"/>
        </w:rPr>
        <w:t>（三）集体讨论原则。法制审核意见应当由法制审核机构集体讨论做出；</w:t>
      </w:r>
    </w:p>
    <w:p>
      <w:pPr>
        <w:ind w:firstLine="640" w:firstLineChars="200"/>
        <w:rPr>
          <w:rFonts w:ascii="仿宋" w:hAnsi="仿宋" w:eastAsia="仿宋"/>
          <w:sz w:val="32"/>
          <w:szCs w:val="32"/>
        </w:rPr>
      </w:pPr>
      <w:r>
        <w:rPr>
          <w:rFonts w:hint="eastAsia" w:ascii="仿宋" w:hAnsi="仿宋" w:eastAsia="仿宋"/>
          <w:sz w:val="32"/>
          <w:szCs w:val="32"/>
        </w:rPr>
        <w:t>（四）办审分离原则。法制审核职责由局机关专门机构负责，直属执法机构法制审核职责由本部门的专门机构负责，严禁即执法又审核。</w:t>
      </w:r>
    </w:p>
    <w:p>
      <w:pPr>
        <w:ind w:firstLine="640" w:firstLineChars="200"/>
        <w:rPr>
          <w:rFonts w:ascii="仿宋" w:hAnsi="仿宋" w:eastAsia="仿宋"/>
          <w:sz w:val="32"/>
          <w:szCs w:val="32"/>
        </w:rPr>
      </w:pPr>
      <w:r>
        <w:rPr>
          <w:rFonts w:hint="eastAsia" w:ascii="仿宋" w:hAnsi="仿宋" w:eastAsia="仿宋"/>
          <w:sz w:val="32"/>
          <w:szCs w:val="32"/>
        </w:rPr>
        <w:t>第四条局机关负责法制工作的机构负责重大行政执法决定的法制审核工作。</w:t>
      </w:r>
    </w:p>
    <w:p>
      <w:pPr>
        <w:ind w:firstLine="640" w:firstLineChars="200"/>
        <w:rPr>
          <w:rFonts w:ascii="仿宋" w:hAnsi="仿宋" w:eastAsia="仿宋"/>
          <w:sz w:val="32"/>
          <w:szCs w:val="32"/>
        </w:rPr>
      </w:pPr>
      <w:r>
        <w:rPr>
          <w:rFonts w:hint="eastAsia" w:ascii="仿宋" w:hAnsi="仿宋" w:eastAsia="仿宋"/>
          <w:sz w:val="32"/>
          <w:szCs w:val="32"/>
        </w:rPr>
        <w:t>直属行政执法机构的法制部门负责重大行政执法决定的法制审核工作，受局机关法制审核机构的监督指导。</w:t>
      </w:r>
    </w:p>
    <w:p>
      <w:pPr>
        <w:ind w:firstLine="640" w:firstLineChars="200"/>
        <w:rPr>
          <w:rFonts w:ascii="仿宋" w:hAnsi="仿宋" w:eastAsia="仿宋"/>
          <w:sz w:val="32"/>
          <w:szCs w:val="32"/>
        </w:rPr>
      </w:pPr>
      <w:r>
        <w:rPr>
          <w:rFonts w:hint="eastAsia" w:ascii="仿宋" w:hAnsi="仿宋" w:eastAsia="仿宋"/>
          <w:sz w:val="32"/>
          <w:szCs w:val="32"/>
        </w:rPr>
        <w:t>第五条法制审核人员应当具有政治素质高、业务能力强、法律专业背景，原则上不少于执法人员总数的</w:t>
      </w:r>
      <w:r>
        <w:rPr>
          <w:rFonts w:ascii="仿宋" w:hAnsi="仿宋" w:eastAsia="仿宋"/>
          <w:sz w:val="32"/>
          <w:szCs w:val="32"/>
        </w:rPr>
        <w:t>5%</w:t>
      </w:r>
      <w:r>
        <w:rPr>
          <w:rFonts w:hint="eastAsia" w:ascii="仿宋" w:hAnsi="仿宋" w:eastAsia="仿宋"/>
          <w:sz w:val="32"/>
          <w:szCs w:val="32"/>
        </w:rPr>
        <w:t>，可以吸纳政府法律顾问或者公职律师从事法制审核工作。符合下列条件之一的，可以确定为法制审核人员：</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、具有法律专业本科及以上学历；</w:t>
      </w:r>
    </w:p>
    <w:p>
      <w:pPr>
        <w:spacing w:line="660" w:lineRule="exac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、具有</w:t>
      </w:r>
      <w:r>
        <w:rPr>
          <w:rFonts w:ascii="仿宋" w:hAnsi="仿宋" w:eastAsia="仿宋"/>
          <w:sz w:val="32"/>
          <w:szCs w:val="32"/>
        </w:rPr>
        <w:t>2</w:t>
      </w:r>
      <w:r>
        <w:rPr>
          <w:rFonts w:hint="eastAsia" w:ascii="仿宋" w:hAnsi="仿宋" w:eastAsia="仿宋"/>
          <w:sz w:val="32"/>
          <w:szCs w:val="32"/>
        </w:rPr>
        <w:t>年以上法制工作经历；</w:t>
      </w:r>
    </w:p>
    <w:p>
      <w:pPr>
        <w:spacing w:line="660" w:lineRule="exact"/>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、具有</w:t>
      </w:r>
      <w:r>
        <w:rPr>
          <w:rFonts w:ascii="仿宋" w:hAnsi="仿宋" w:eastAsia="仿宋"/>
          <w:sz w:val="32"/>
          <w:szCs w:val="32"/>
        </w:rPr>
        <w:t>3</w:t>
      </w:r>
      <w:r>
        <w:rPr>
          <w:rFonts w:hint="eastAsia" w:ascii="仿宋" w:hAnsi="仿宋" w:eastAsia="仿宋"/>
          <w:sz w:val="32"/>
          <w:szCs w:val="32"/>
        </w:rPr>
        <w:t>年以上执法经历；</w:t>
      </w:r>
    </w:p>
    <w:p>
      <w:pPr>
        <w:spacing w:line="660" w:lineRule="exact"/>
        <w:ind w:firstLine="640" w:firstLineChars="200"/>
        <w:jc w:val="lef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、具有国家统一法律职业资格。</w:t>
      </w:r>
    </w:p>
    <w:p>
      <w:pPr>
        <w:spacing w:line="660" w:lineRule="exact"/>
        <w:ind w:firstLine="640" w:firstLineChars="200"/>
        <w:jc w:val="left"/>
        <w:rPr>
          <w:rFonts w:ascii="仿宋" w:hAnsi="仿宋" w:eastAsia="仿宋"/>
          <w:sz w:val="32"/>
          <w:szCs w:val="32"/>
        </w:rPr>
      </w:pPr>
      <w:r>
        <w:rPr>
          <w:rFonts w:hint="eastAsia" w:ascii="仿宋" w:hAnsi="仿宋" w:eastAsia="仿宋"/>
          <w:sz w:val="32"/>
          <w:szCs w:val="32"/>
          <w:shd w:val="clear" w:color="auto" w:fill="FFFFFF"/>
        </w:rPr>
        <w:t>法制审核人员与法制审核案件有直接利害关系的，应当回避。</w:t>
      </w:r>
    </w:p>
    <w:p>
      <w:pPr>
        <w:ind w:firstLine="640" w:firstLineChars="200"/>
        <w:rPr>
          <w:rFonts w:ascii="仿宋" w:hAnsi="仿宋" w:eastAsia="仿宋" w:cs="仿宋_GB2312"/>
          <w:bCs/>
          <w:sz w:val="32"/>
          <w:szCs w:val="32"/>
        </w:rPr>
      </w:pPr>
      <w:r>
        <w:rPr>
          <w:rFonts w:hint="eastAsia" w:ascii="仿宋" w:hAnsi="仿宋" w:eastAsia="仿宋"/>
          <w:sz w:val="32"/>
          <w:szCs w:val="32"/>
        </w:rPr>
        <w:t>第六条</w:t>
      </w:r>
      <w:r>
        <w:rPr>
          <w:rFonts w:ascii="仿宋" w:hAnsi="仿宋" w:eastAsia="仿宋"/>
          <w:sz w:val="32"/>
          <w:szCs w:val="32"/>
        </w:rPr>
        <w:t xml:space="preserve"> </w:t>
      </w:r>
      <w:r>
        <w:rPr>
          <w:rFonts w:hint="eastAsia" w:ascii="仿宋" w:hAnsi="仿宋" w:eastAsia="仿宋" w:cs="仿宋_GB2312"/>
          <w:bCs/>
          <w:sz w:val="32"/>
          <w:szCs w:val="32"/>
        </w:rPr>
        <w:t>开展法制审核人员培训工作，提高法制审核人员的法律素养和业务能力，每年开展的培训不应少于一次，培训采取集中和自学相结合的方式进行，年培训不得少于</w:t>
      </w:r>
      <w:r>
        <w:rPr>
          <w:rFonts w:ascii="仿宋" w:hAnsi="仿宋" w:eastAsia="仿宋" w:cs="仿宋_GB2312"/>
          <w:bCs/>
          <w:sz w:val="32"/>
          <w:szCs w:val="32"/>
        </w:rPr>
        <w:t>40</w:t>
      </w:r>
      <w:r>
        <w:rPr>
          <w:rFonts w:hint="eastAsia" w:ascii="仿宋" w:hAnsi="仿宋" w:eastAsia="仿宋" w:cs="仿宋_GB2312"/>
          <w:bCs/>
          <w:sz w:val="32"/>
          <w:szCs w:val="32"/>
        </w:rPr>
        <w:t>学时。</w:t>
      </w:r>
    </w:p>
    <w:p>
      <w:pPr>
        <w:ind w:firstLine="640" w:firstLineChars="200"/>
        <w:rPr>
          <w:rFonts w:ascii="仿宋" w:hAnsi="仿宋" w:eastAsia="仿宋" w:cs="仿宋_GB2312"/>
          <w:bCs/>
          <w:color w:val="FF0000"/>
          <w:sz w:val="32"/>
          <w:szCs w:val="32"/>
        </w:rPr>
      </w:pPr>
      <w:r>
        <w:rPr>
          <w:rFonts w:hint="eastAsia" w:ascii="仿宋" w:hAnsi="仿宋" w:eastAsia="仿宋" w:cs="仿宋_GB2312"/>
          <w:bCs/>
          <w:sz w:val="32"/>
          <w:szCs w:val="32"/>
        </w:rPr>
        <w:t>第七条</w:t>
      </w:r>
      <w:r>
        <w:rPr>
          <w:rFonts w:ascii="仿宋" w:hAnsi="仿宋" w:eastAsia="仿宋" w:cs="仿宋_GB2312"/>
          <w:bCs/>
          <w:sz w:val="32"/>
          <w:szCs w:val="32"/>
        </w:rPr>
        <w:t xml:space="preserve"> </w:t>
      </w:r>
      <w:r>
        <w:rPr>
          <w:rFonts w:hint="eastAsia" w:ascii="仿宋" w:hAnsi="仿宋" w:eastAsia="仿宋" w:cs="仿宋_GB2312"/>
          <w:bCs/>
          <w:sz w:val="32"/>
          <w:szCs w:val="32"/>
        </w:rPr>
        <w:t>重大行政执法决定是指以下行政执法决定：</w:t>
      </w:r>
      <w:r>
        <w:rPr>
          <w:rFonts w:ascii="仿宋" w:hAnsi="仿宋" w:eastAsia="仿宋" w:cs="仿宋_GB2312"/>
          <w:bCs/>
          <w:color w:val="000000"/>
          <w:sz w:val="32"/>
          <w:szCs w:val="32"/>
        </w:rPr>
        <w:t>(</w:t>
      </w:r>
      <w:r>
        <w:rPr>
          <w:rFonts w:hint="eastAsia" w:ascii="仿宋" w:hAnsi="仿宋" w:eastAsia="仿宋" w:cs="仿宋_GB2312"/>
          <w:bCs/>
          <w:color w:val="000000"/>
          <w:sz w:val="32"/>
          <w:szCs w:val="32"/>
        </w:rPr>
        <w:t>针对自己行业定</w:t>
      </w:r>
      <w:r>
        <w:rPr>
          <w:rFonts w:ascii="仿宋" w:hAnsi="仿宋" w:eastAsia="仿宋" w:cs="仿宋_GB2312"/>
          <w:bCs/>
          <w:color w:val="000000"/>
          <w:sz w:val="32"/>
          <w:szCs w:val="32"/>
        </w:rPr>
        <w:t>)</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（一）给予自然人罚款、没收违法所得在</w:t>
      </w:r>
      <w:r>
        <w:rPr>
          <w:rFonts w:ascii="仿宋" w:hAnsi="仿宋" w:eastAsia="仿宋" w:cs="仿宋_GB2312"/>
          <w:bCs/>
          <w:sz w:val="32"/>
          <w:szCs w:val="32"/>
        </w:rPr>
        <w:t>3000.00</w:t>
      </w:r>
      <w:r>
        <w:rPr>
          <w:rFonts w:hint="eastAsia" w:ascii="仿宋" w:hAnsi="仿宋" w:eastAsia="仿宋" w:cs="仿宋_GB2312"/>
          <w:bCs/>
          <w:sz w:val="32"/>
          <w:szCs w:val="32"/>
        </w:rPr>
        <w:t>元以上的行政处罚。给予法人或者其它组织罚款、没收违法所得在</w:t>
      </w:r>
      <w:r>
        <w:rPr>
          <w:rFonts w:ascii="仿宋" w:hAnsi="仿宋" w:eastAsia="仿宋" w:cs="仿宋_GB2312"/>
          <w:bCs/>
          <w:sz w:val="32"/>
          <w:szCs w:val="32"/>
        </w:rPr>
        <w:t>30000.00</w:t>
      </w:r>
      <w:r>
        <w:rPr>
          <w:rFonts w:hint="eastAsia" w:ascii="仿宋" w:hAnsi="仿宋" w:eastAsia="仿宋" w:cs="仿宋_GB2312"/>
          <w:bCs/>
          <w:sz w:val="32"/>
          <w:szCs w:val="32"/>
        </w:rPr>
        <w:t>元以上的行政处罚的；</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（二）</w:t>
      </w:r>
      <w:r>
        <w:rPr>
          <w:rFonts w:hint="eastAsia" w:ascii="仿宋" w:hAnsi="仿宋" w:eastAsia="仿宋"/>
          <w:sz w:val="32"/>
          <w:szCs w:val="32"/>
        </w:rPr>
        <w:t>经过听证程序作出的行政执法决定</w:t>
      </w:r>
      <w:r>
        <w:rPr>
          <w:rFonts w:hint="eastAsia" w:ascii="仿宋" w:hAnsi="仿宋" w:eastAsia="仿宋" w:cs="仿宋_GB2312"/>
          <w:bCs/>
          <w:sz w:val="32"/>
          <w:szCs w:val="32"/>
        </w:rPr>
        <w:t>。</w:t>
      </w:r>
    </w:p>
    <w:p>
      <w:pPr>
        <w:ind w:firstLine="640" w:firstLineChars="200"/>
        <w:rPr>
          <w:rFonts w:ascii="仿宋" w:hAnsi="仿宋" w:eastAsia="仿宋"/>
          <w:sz w:val="32"/>
          <w:szCs w:val="32"/>
        </w:rPr>
      </w:pPr>
      <w:r>
        <w:rPr>
          <w:rFonts w:hint="eastAsia" w:ascii="仿宋" w:hAnsi="仿宋" w:eastAsia="仿宋" w:cs="仿宋_GB2312"/>
          <w:bCs/>
          <w:sz w:val="32"/>
          <w:szCs w:val="32"/>
        </w:rPr>
        <w:t>第八条</w:t>
      </w:r>
      <w:r>
        <w:rPr>
          <w:rFonts w:ascii="仿宋" w:hAnsi="仿宋" w:eastAsia="仿宋" w:cs="仿宋_GB2312"/>
          <w:bCs/>
          <w:sz w:val="32"/>
          <w:szCs w:val="32"/>
        </w:rPr>
        <w:t xml:space="preserve"> </w:t>
      </w:r>
      <w:r>
        <w:rPr>
          <w:rFonts w:hint="eastAsia" w:ascii="仿宋" w:hAnsi="仿宋" w:eastAsia="仿宋" w:cs="仿宋_GB2312"/>
          <w:bCs/>
          <w:sz w:val="32"/>
          <w:szCs w:val="32"/>
        </w:rPr>
        <w:t>局机关行政执法机构</w:t>
      </w:r>
      <w:r>
        <w:rPr>
          <w:rFonts w:hint="eastAsia" w:ascii="仿宋" w:hAnsi="仿宋" w:eastAsia="仿宋"/>
          <w:sz w:val="32"/>
          <w:szCs w:val="32"/>
        </w:rPr>
        <w:t>在调查终结后作出行政执法决定前</w:t>
      </w:r>
      <w:r>
        <w:rPr>
          <w:rFonts w:ascii="仿宋" w:hAnsi="仿宋" w:eastAsia="仿宋"/>
          <w:sz w:val="32"/>
          <w:szCs w:val="32"/>
        </w:rPr>
        <w:t>,</w:t>
      </w:r>
      <w:r>
        <w:rPr>
          <w:rFonts w:hint="eastAsia" w:ascii="仿宋" w:hAnsi="仿宋" w:eastAsia="仿宋"/>
          <w:sz w:val="32"/>
          <w:szCs w:val="32"/>
        </w:rPr>
        <w:t>对符合重大行政执法决定条件的案件应当送局机关法制审核机构进行法制审核。</w:t>
      </w:r>
    </w:p>
    <w:p>
      <w:pPr>
        <w:ind w:firstLine="640" w:firstLineChars="200"/>
        <w:rPr>
          <w:rFonts w:ascii="仿宋" w:hAnsi="仿宋" w:eastAsia="仿宋"/>
          <w:sz w:val="32"/>
          <w:szCs w:val="32"/>
        </w:rPr>
      </w:pPr>
      <w:r>
        <w:rPr>
          <w:rFonts w:hint="eastAsia" w:ascii="仿宋" w:hAnsi="仿宋" w:eastAsia="仿宋"/>
          <w:sz w:val="32"/>
          <w:szCs w:val="32"/>
        </w:rPr>
        <w:t>直属执法机构对符合重大行政执法决定条件的案件送本部门的法制审核机构进行法制审核。</w:t>
      </w:r>
    </w:p>
    <w:p>
      <w:pPr>
        <w:ind w:firstLine="640" w:firstLineChars="200"/>
        <w:rPr>
          <w:rFonts w:ascii="仿宋" w:hAnsi="仿宋" w:eastAsia="仿宋"/>
          <w:sz w:val="32"/>
          <w:szCs w:val="32"/>
        </w:rPr>
      </w:pPr>
      <w:r>
        <w:rPr>
          <w:rFonts w:hint="eastAsia" w:ascii="仿宋" w:hAnsi="仿宋" w:eastAsia="仿宋"/>
          <w:sz w:val="32"/>
          <w:szCs w:val="32"/>
        </w:rPr>
        <w:t>第九条</w:t>
      </w:r>
      <w:r>
        <w:rPr>
          <w:rFonts w:ascii="仿宋" w:hAnsi="仿宋" w:eastAsia="仿宋"/>
          <w:sz w:val="32"/>
          <w:szCs w:val="32"/>
        </w:rPr>
        <w:t xml:space="preserve"> </w:t>
      </w:r>
      <w:r>
        <w:rPr>
          <w:rFonts w:hint="eastAsia" w:ascii="仿宋" w:hAnsi="仿宋" w:eastAsia="仿宋"/>
          <w:sz w:val="32"/>
          <w:szCs w:val="32"/>
        </w:rPr>
        <w:t>行政执法机构送审案件应当包括以下材料：</w:t>
      </w:r>
    </w:p>
    <w:p>
      <w:pPr>
        <w:ind w:firstLine="640" w:firstLineChars="200"/>
        <w:rPr>
          <w:rFonts w:ascii="仿宋" w:hAnsi="仿宋" w:eastAsia="仿宋"/>
          <w:sz w:val="32"/>
          <w:szCs w:val="32"/>
        </w:rPr>
      </w:pPr>
      <w:r>
        <w:rPr>
          <w:rFonts w:hint="eastAsia" w:ascii="仿宋" w:hAnsi="仿宋" w:eastAsia="仿宋"/>
          <w:sz w:val="32"/>
          <w:szCs w:val="32"/>
        </w:rPr>
        <w:t>（一）填写《重大行政执法决定法制审核送审表》。《重大行政执法决定审核送审表》应当设置执法机构名称、执法对象自然信息、行政执法事项名称、拟作出的重大行政执法决定的结论、法制审核意见栏。</w:t>
      </w:r>
    </w:p>
    <w:p>
      <w:pPr>
        <w:ind w:firstLine="640" w:firstLineChars="200"/>
        <w:rPr>
          <w:rFonts w:ascii="仿宋" w:hAnsi="仿宋" w:eastAsia="仿宋"/>
          <w:sz w:val="32"/>
          <w:szCs w:val="32"/>
        </w:rPr>
      </w:pPr>
      <w:r>
        <w:rPr>
          <w:rFonts w:hint="eastAsia" w:ascii="仿宋" w:hAnsi="仿宋" w:eastAsia="仿宋"/>
          <w:sz w:val="32"/>
          <w:szCs w:val="32"/>
        </w:rPr>
        <w:t>（二）拟作出重大行政执法决定书文本；</w:t>
      </w:r>
    </w:p>
    <w:p>
      <w:pPr>
        <w:ind w:firstLine="640" w:firstLineChars="200"/>
        <w:rPr>
          <w:rFonts w:ascii="仿宋" w:hAnsi="仿宋" w:eastAsia="仿宋"/>
          <w:sz w:val="32"/>
          <w:szCs w:val="32"/>
        </w:rPr>
      </w:pPr>
      <w:r>
        <w:rPr>
          <w:rFonts w:hint="eastAsia" w:ascii="仿宋" w:hAnsi="仿宋" w:eastAsia="仿宋"/>
          <w:sz w:val="32"/>
          <w:szCs w:val="32"/>
        </w:rPr>
        <w:t>（三）拟作出重大行政执法决定的情况说明。载明案件行政执法对象自然信息，案件来源、基本事实及证据、适用法律、法规、规章和执行裁量权基准情况、程序的合法性、执法人员资格、行政执法决定结论等内容；</w:t>
      </w:r>
    </w:p>
    <w:p>
      <w:pPr>
        <w:ind w:firstLine="640" w:firstLineChars="200"/>
        <w:rPr>
          <w:rFonts w:ascii="仿宋" w:hAnsi="仿宋" w:eastAsia="仿宋"/>
          <w:sz w:val="32"/>
          <w:szCs w:val="32"/>
        </w:rPr>
      </w:pPr>
      <w:r>
        <w:rPr>
          <w:rFonts w:hint="eastAsia" w:ascii="仿宋" w:hAnsi="仿宋" w:eastAsia="仿宋"/>
          <w:sz w:val="32"/>
          <w:szCs w:val="32"/>
        </w:rPr>
        <w:t>（四）拟作出重大行政执法决定案件的全部案卷材料。</w:t>
      </w:r>
    </w:p>
    <w:p>
      <w:pPr>
        <w:ind w:firstLine="640" w:firstLineChars="200"/>
        <w:rPr>
          <w:rFonts w:ascii="仿宋" w:hAnsi="仿宋" w:eastAsia="仿宋"/>
          <w:sz w:val="32"/>
          <w:szCs w:val="32"/>
        </w:rPr>
      </w:pPr>
      <w:r>
        <w:rPr>
          <w:rFonts w:hint="eastAsia" w:ascii="仿宋" w:hAnsi="仿宋" w:eastAsia="仿宋" w:cs="仿宋_GB2312"/>
          <w:bCs/>
          <w:sz w:val="32"/>
          <w:szCs w:val="32"/>
        </w:rPr>
        <w:t>第十条法制审核机构对重大行政执法决定送审案件首先进行形式审查，对</w:t>
      </w:r>
      <w:r>
        <w:rPr>
          <w:rFonts w:hint="eastAsia" w:ascii="仿宋" w:hAnsi="仿宋" w:eastAsia="仿宋"/>
          <w:sz w:val="32"/>
          <w:szCs w:val="32"/>
        </w:rPr>
        <w:t>材料不齐全的，可以要求行政执法机构及时补充，补充材料时间不计入审核时间。必要时，可以调阅审核执法决定的相关材料，行政执法机构应当予以协助配合。</w:t>
      </w:r>
    </w:p>
    <w:p>
      <w:pPr>
        <w:ind w:firstLine="640" w:firstLineChars="200"/>
        <w:rPr>
          <w:rFonts w:ascii="仿宋" w:hAnsi="仿宋" w:eastAsia="仿宋"/>
          <w:b/>
          <w:sz w:val="32"/>
          <w:szCs w:val="32"/>
        </w:rPr>
      </w:pPr>
      <w:r>
        <w:rPr>
          <w:rFonts w:hint="eastAsia" w:ascii="仿宋" w:hAnsi="仿宋" w:eastAsia="仿宋"/>
          <w:sz w:val="32"/>
          <w:szCs w:val="32"/>
        </w:rPr>
        <w:t>第十一条法制审核机构对形式审查合格的送审案件，应当从以下几个方面进行实质性审查：</w:t>
      </w:r>
    </w:p>
    <w:p>
      <w:pPr>
        <w:ind w:firstLine="640" w:firstLineChars="200"/>
        <w:rPr>
          <w:rFonts w:ascii="仿宋" w:hAnsi="仿宋" w:eastAsia="仿宋"/>
          <w:sz w:val="32"/>
          <w:szCs w:val="32"/>
        </w:rPr>
      </w:pPr>
      <w:r>
        <w:rPr>
          <w:rFonts w:hint="eastAsia" w:ascii="仿宋" w:hAnsi="仿宋" w:eastAsia="仿宋"/>
          <w:sz w:val="32"/>
          <w:szCs w:val="32"/>
        </w:rPr>
        <w:t>（一）行政执法机关主体是否合法，行政执法人员是否具备执法资格；</w:t>
      </w:r>
    </w:p>
    <w:p>
      <w:pPr>
        <w:ind w:firstLine="640" w:firstLineChars="200"/>
        <w:rPr>
          <w:rFonts w:ascii="仿宋" w:hAnsi="仿宋" w:eastAsia="仿宋"/>
          <w:sz w:val="32"/>
          <w:szCs w:val="32"/>
        </w:rPr>
      </w:pPr>
      <w:r>
        <w:rPr>
          <w:rFonts w:hint="eastAsia" w:ascii="仿宋" w:hAnsi="仿宋" w:eastAsia="仿宋"/>
          <w:sz w:val="32"/>
          <w:szCs w:val="32"/>
        </w:rPr>
        <w:t>（二）程序是否合法；</w:t>
      </w:r>
    </w:p>
    <w:p>
      <w:pPr>
        <w:ind w:firstLine="640" w:firstLineChars="200"/>
        <w:rPr>
          <w:rFonts w:ascii="仿宋" w:hAnsi="仿宋" w:eastAsia="仿宋"/>
          <w:sz w:val="32"/>
          <w:szCs w:val="32"/>
        </w:rPr>
      </w:pPr>
      <w:r>
        <w:rPr>
          <w:rFonts w:hint="eastAsia" w:ascii="仿宋" w:hAnsi="仿宋" w:eastAsia="仿宋"/>
          <w:sz w:val="32"/>
          <w:szCs w:val="32"/>
        </w:rPr>
        <w:t>（三）主要事实是否清楚，证据是否确凿充分；</w:t>
      </w:r>
    </w:p>
    <w:p>
      <w:pPr>
        <w:ind w:firstLine="640" w:firstLineChars="200"/>
        <w:rPr>
          <w:rFonts w:ascii="仿宋" w:hAnsi="仿宋" w:eastAsia="仿宋"/>
          <w:sz w:val="32"/>
          <w:szCs w:val="32"/>
        </w:rPr>
      </w:pPr>
      <w:r>
        <w:rPr>
          <w:rFonts w:hint="eastAsia" w:ascii="仿宋" w:hAnsi="仿宋" w:eastAsia="仿宋"/>
          <w:sz w:val="32"/>
          <w:szCs w:val="32"/>
        </w:rPr>
        <w:t>（四）适用法律、法规、规章是否准确，裁量基准运用是否适当；</w:t>
      </w:r>
    </w:p>
    <w:p>
      <w:pPr>
        <w:ind w:firstLine="640" w:firstLineChars="200"/>
        <w:rPr>
          <w:rFonts w:ascii="仿宋" w:hAnsi="仿宋" w:eastAsia="仿宋" w:cs="仿宋_GB2312"/>
          <w:sz w:val="32"/>
          <w:szCs w:val="32"/>
        </w:rPr>
      </w:pPr>
      <w:r>
        <w:rPr>
          <w:rFonts w:hint="eastAsia" w:ascii="仿宋" w:hAnsi="仿宋" w:eastAsia="仿宋"/>
          <w:sz w:val="32"/>
          <w:szCs w:val="32"/>
        </w:rPr>
        <w:t>（五）行政</w:t>
      </w:r>
      <w:r>
        <w:rPr>
          <w:rFonts w:hint="eastAsia" w:ascii="仿宋" w:hAnsi="仿宋" w:eastAsia="仿宋" w:cs="仿宋_GB2312"/>
          <w:sz w:val="32"/>
          <w:szCs w:val="32"/>
        </w:rPr>
        <w:t>执法是否有超越执法机关法定权限或滥用职权的情形</w:t>
      </w:r>
      <w:r>
        <w:rPr>
          <w:rFonts w:ascii="仿宋" w:hAnsi="仿宋" w:eastAsia="仿宋" w:cs="仿宋_GB2312"/>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（六）行政执法文书的制作是否规范、齐备；</w:t>
      </w:r>
    </w:p>
    <w:p>
      <w:pPr>
        <w:ind w:firstLine="640" w:firstLineChars="200"/>
        <w:rPr>
          <w:rFonts w:ascii="仿宋" w:hAnsi="仿宋" w:eastAsia="仿宋"/>
          <w:sz w:val="32"/>
          <w:szCs w:val="32"/>
        </w:rPr>
      </w:pPr>
      <w:r>
        <w:rPr>
          <w:rFonts w:hint="eastAsia" w:ascii="仿宋" w:hAnsi="仿宋" w:eastAsia="仿宋"/>
          <w:sz w:val="32"/>
          <w:szCs w:val="32"/>
        </w:rPr>
        <w:t>（七）违法行为是否涉嫌犯罪。</w:t>
      </w:r>
    </w:p>
    <w:p>
      <w:pPr>
        <w:ind w:firstLine="640" w:firstLineChars="200"/>
        <w:rPr>
          <w:rFonts w:ascii="仿宋" w:hAnsi="仿宋" w:eastAsia="仿宋"/>
          <w:sz w:val="32"/>
          <w:szCs w:val="32"/>
        </w:rPr>
      </w:pPr>
      <w:r>
        <w:rPr>
          <w:rFonts w:hint="eastAsia" w:ascii="仿宋" w:hAnsi="仿宋" w:eastAsia="仿宋" w:cs="仿宋_GB2312"/>
          <w:bCs/>
          <w:sz w:val="32"/>
          <w:szCs w:val="32"/>
        </w:rPr>
        <w:t>第十二条</w:t>
      </w:r>
      <w:r>
        <w:rPr>
          <w:rFonts w:hint="eastAsia" w:ascii="仿宋" w:hAnsi="仿宋" w:eastAsia="仿宋"/>
          <w:sz w:val="32"/>
          <w:szCs w:val="32"/>
        </w:rPr>
        <w:t>法制审核机构应当自收到重大行政执法决定送审材料起</w:t>
      </w:r>
      <w:r>
        <w:rPr>
          <w:rFonts w:ascii="仿宋" w:hAnsi="仿宋" w:eastAsia="仿宋"/>
          <w:sz w:val="32"/>
          <w:szCs w:val="32"/>
        </w:rPr>
        <w:t>7</w:t>
      </w:r>
      <w:r>
        <w:rPr>
          <w:rFonts w:hint="eastAsia" w:ascii="仿宋" w:hAnsi="仿宋" w:eastAsia="仿宋"/>
          <w:sz w:val="32"/>
          <w:szCs w:val="32"/>
        </w:rPr>
        <w:t>个工作日内完成审核工作；案件复杂的，经负责人批准可以延长</w:t>
      </w:r>
      <w:r>
        <w:rPr>
          <w:rFonts w:ascii="仿宋" w:hAnsi="仿宋" w:eastAsia="仿宋"/>
          <w:sz w:val="32"/>
          <w:szCs w:val="32"/>
        </w:rPr>
        <w:t>3</w:t>
      </w:r>
      <w:r>
        <w:rPr>
          <w:rFonts w:hint="eastAsia" w:ascii="仿宋" w:hAnsi="仿宋" w:eastAsia="仿宋"/>
          <w:sz w:val="32"/>
          <w:szCs w:val="32"/>
        </w:rPr>
        <w:t>个工作日。</w:t>
      </w:r>
    </w:p>
    <w:p>
      <w:pPr>
        <w:ind w:firstLine="640" w:firstLineChars="200"/>
        <w:rPr>
          <w:rFonts w:ascii="仿宋" w:hAnsi="仿宋" w:eastAsia="仿宋"/>
          <w:sz w:val="32"/>
          <w:szCs w:val="32"/>
        </w:rPr>
      </w:pPr>
      <w:r>
        <w:rPr>
          <w:rFonts w:hint="eastAsia" w:ascii="仿宋" w:hAnsi="仿宋" w:eastAsia="仿宋"/>
          <w:sz w:val="32"/>
          <w:szCs w:val="32"/>
        </w:rPr>
        <w:t>法律、法规、规章对法制审核时限另有规定的，依其规定。</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第十三条</w:t>
      </w:r>
      <w:r>
        <w:rPr>
          <w:rFonts w:ascii="仿宋" w:hAnsi="仿宋" w:eastAsia="仿宋" w:cs="仿宋_GB2312"/>
          <w:bCs/>
          <w:sz w:val="32"/>
          <w:szCs w:val="32"/>
        </w:rPr>
        <w:t xml:space="preserve"> </w:t>
      </w:r>
      <w:r>
        <w:rPr>
          <w:rFonts w:hint="eastAsia" w:ascii="仿宋" w:hAnsi="仿宋" w:eastAsia="仿宋" w:cs="仿宋_GB2312"/>
          <w:bCs/>
          <w:sz w:val="32"/>
          <w:szCs w:val="32"/>
        </w:rPr>
        <w:t>法制审核机构对送审材料不齐全并且无法补齐的送审案件，做出“不予审核”的审核意见。</w:t>
      </w:r>
    </w:p>
    <w:p>
      <w:pPr>
        <w:ind w:firstLine="640" w:firstLineChars="200"/>
        <w:rPr>
          <w:rFonts w:ascii="仿宋" w:hAnsi="仿宋" w:eastAsia="仿宋"/>
          <w:sz w:val="32"/>
          <w:szCs w:val="32"/>
        </w:rPr>
      </w:pPr>
      <w:r>
        <w:rPr>
          <w:rFonts w:hint="eastAsia" w:ascii="仿宋" w:hAnsi="仿宋" w:eastAsia="仿宋" w:cs="仿宋_GB2312"/>
          <w:bCs/>
          <w:sz w:val="32"/>
          <w:szCs w:val="32"/>
        </w:rPr>
        <w:t>第十四条法制审核机构对</w:t>
      </w:r>
      <w:r>
        <w:rPr>
          <w:rFonts w:hint="eastAsia" w:ascii="仿宋" w:hAnsi="仿宋" w:eastAsia="仿宋"/>
          <w:kern w:val="0"/>
          <w:sz w:val="32"/>
          <w:szCs w:val="32"/>
        </w:rPr>
        <w:t>案件事实清楚、证据确凿、</w:t>
      </w:r>
      <w:r>
        <w:rPr>
          <w:rFonts w:hint="eastAsia" w:ascii="仿宋" w:hAnsi="仿宋" w:eastAsia="仿宋"/>
          <w:sz w:val="32"/>
          <w:szCs w:val="32"/>
        </w:rPr>
        <w:t>适用依据正确、</w:t>
      </w:r>
      <w:r>
        <w:rPr>
          <w:rFonts w:hint="eastAsia" w:ascii="仿宋" w:hAnsi="仿宋" w:eastAsia="仿宋"/>
          <w:kern w:val="0"/>
          <w:sz w:val="32"/>
          <w:szCs w:val="32"/>
        </w:rPr>
        <w:t>程序合法、</w:t>
      </w:r>
      <w:r>
        <w:rPr>
          <w:rFonts w:hint="eastAsia" w:ascii="仿宋" w:hAnsi="仿宋" w:eastAsia="仿宋"/>
          <w:sz w:val="32"/>
          <w:szCs w:val="32"/>
        </w:rPr>
        <w:t>执行裁量权基准适当、</w:t>
      </w:r>
      <w:r>
        <w:rPr>
          <w:rFonts w:hint="eastAsia" w:ascii="仿宋" w:hAnsi="仿宋" w:eastAsia="仿宋"/>
          <w:kern w:val="0"/>
          <w:sz w:val="32"/>
          <w:szCs w:val="32"/>
        </w:rPr>
        <w:t>法律文书制作规范的送审案件，</w:t>
      </w:r>
      <w:r>
        <w:rPr>
          <w:rFonts w:hint="eastAsia" w:ascii="仿宋" w:hAnsi="仿宋" w:eastAsia="仿宋"/>
          <w:sz w:val="32"/>
          <w:szCs w:val="32"/>
        </w:rPr>
        <w:t>作出“予以核准”的审核意见。</w:t>
      </w:r>
    </w:p>
    <w:p>
      <w:pPr>
        <w:ind w:firstLine="640" w:firstLineChars="200"/>
        <w:rPr>
          <w:rFonts w:ascii="仿宋" w:hAnsi="仿宋" w:eastAsia="仿宋"/>
          <w:sz w:val="32"/>
          <w:szCs w:val="32"/>
          <w:shd w:val="clear" w:color="auto" w:fill="FFFFFF"/>
        </w:rPr>
      </w:pPr>
      <w:r>
        <w:rPr>
          <w:rFonts w:hint="eastAsia" w:ascii="仿宋" w:hAnsi="仿宋" w:eastAsia="仿宋"/>
          <w:sz w:val="32"/>
          <w:szCs w:val="32"/>
        </w:rPr>
        <w:t>第十五条法制审核机构对超越本机关法定权限，或者存在滥用职权的送审案件，</w:t>
      </w:r>
      <w:r>
        <w:rPr>
          <w:rFonts w:hint="eastAsia" w:ascii="仿宋" w:hAnsi="仿宋" w:eastAsia="仿宋"/>
          <w:sz w:val="32"/>
          <w:szCs w:val="32"/>
          <w:shd w:val="clear" w:color="auto" w:fill="FFFFFF"/>
        </w:rPr>
        <w:t>作出“不予核准”的审核意见。</w:t>
      </w:r>
    </w:p>
    <w:p>
      <w:pPr>
        <w:ind w:firstLine="640" w:firstLineChars="200"/>
        <w:rPr>
          <w:rFonts w:ascii="仿宋" w:hAnsi="仿宋" w:eastAsia="仿宋"/>
          <w:sz w:val="32"/>
          <w:szCs w:val="32"/>
        </w:rPr>
      </w:pPr>
      <w:r>
        <w:rPr>
          <w:rFonts w:hint="eastAsia" w:ascii="仿宋" w:hAnsi="仿宋" w:eastAsia="仿宋"/>
          <w:sz w:val="32"/>
          <w:szCs w:val="32"/>
          <w:shd w:val="clear" w:color="auto" w:fill="FFFFFF"/>
        </w:rPr>
        <w:t>第十六条法制审核机构</w:t>
      </w:r>
      <w:r>
        <w:rPr>
          <w:rFonts w:hint="eastAsia" w:ascii="仿宋" w:hAnsi="仿宋" w:eastAsia="仿宋"/>
          <w:sz w:val="32"/>
          <w:szCs w:val="32"/>
        </w:rPr>
        <w:t>对事实不清、证据不足的送审案件，作出“不予核准”的审核意见。同时，提出行政执法机构重新调查或者补充调查的意见。</w:t>
      </w:r>
    </w:p>
    <w:p>
      <w:pPr>
        <w:ind w:firstLine="640" w:firstLineChars="200"/>
        <w:rPr>
          <w:rFonts w:ascii="仿宋" w:hAnsi="仿宋" w:eastAsia="仿宋"/>
          <w:sz w:val="32"/>
          <w:szCs w:val="32"/>
        </w:rPr>
      </w:pPr>
      <w:r>
        <w:rPr>
          <w:rFonts w:hint="eastAsia" w:ascii="仿宋" w:hAnsi="仿宋" w:eastAsia="仿宋"/>
          <w:sz w:val="32"/>
          <w:szCs w:val="32"/>
        </w:rPr>
        <w:t>行政执法机构重新调查或者补充调查终结后应当再次送审。</w:t>
      </w:r>
    </w:p>
    <w:p>
      <w:pPr>
        <w:ind w:firstLine="640" w:firstLineChars="200"/>
        <w:rPr>
          <w:rFonts w:ascii="仿宋" w:hAnsi="仿宋" w:eastAsia="仿宋"/>
          <w:sz w:val="32"/>
          <w:szCs w:val="32"/>
        </w:rPr>
      </w:pPr>
      <w:r>
        <w:rPr>
          <w:rFonts w:hint="eastAsia" w:ascii="仿宋" w:hAnsi="仿宋" w:eastAsia="仿宋"/>
          <w:sz w:val="32"/>
          <w:szCs w:val="32"/>
        </w:rPr>
        <w:t>第十七条法制审核机构对定性不准、适用依据错误，或者不符合裁量基准规定的送审案件，作出“不予核准”的审核意见，同时，提出修正的意见。</w:t>
      </w:r>
    </w:p>
    <w:p>
      <w:pPr>
        <w:ind w:firstLine="640" w:firstLineChars="200"/>
        <w:rPr>
          <w:rFonts w:ascii="仿宋" w:hAnsi="仿宋" w:eastAsia="仿宋"/>
          <w:sz w:val="32"/>
          <w:szCs w:val="32"/>
        </w:rPr>
      </w:pPr>
      <w:r>
        <w:rPr>
          <w:rFonts w:hint="eastAsia" w:ascii="仿宋" w:hAnsi="仿宋" w:eastAsia="仿宋"/>
          <w:sz w:val="32"/>
          <w:szCs w:val="32"/>
        </w:rPr>
        <w:t>行政执法机构按照审核意见修正后应当再次将重大行政执法决定送审。</w:t>
      </w:r>
    </w:p>
    <w:p>
      <w:pPr>
        <w:ind w:firstLine="640" w:firstLineChars="200"/>
        <w:rPr>
          <w:rFonts w:ascii="仿宋" w:hAnsi="仿宋" w:eastAsia="仿宋"/>
          <w:sz w:val="32"/>
          <w:szCs w:val="32"/>
        </w:rPr>
      </w:pPr>
      <w:r>
        <w:rPr>
          <w:rFonts w:hint="eastAsia" w:ascii="仿宋" w:hAnsi="仿宋" w:eastAsia="仿宋"/>
          <w:sz w:val="32"/>
          <w:szCs w:val="32"/>
        </w:rPr>
        <w:t>第十八条法制审核机构对违反法定程序的送审案件，作出“不予核准”的审核意见。同时，提出纠正的审核意见。</w:t>
      </w:r>
    </w:p>
    <w:p>
      <w:pPr>
        <w:ind w:firstLine="640" w:firstLineChars="200"/>
        <w:rPr>
          <w:rFonts w:ascii="仿宋" w:hAnsi="仿宋" w:eastAsia="仿宋"/>
          <w:sz w:val="32"/>
          <w:szCs w:val="32"/>
        </w:rPr>
      </w:pPr>
      <w:r>
        <w:rPr>
          <w:rFonts w:hint="eastAsia" w:ascii="仿宋" w:hAnsi="仿宋" w:eastAsia="仿宋"/>
          <w:sz w:val="32"/>
          <w:szCs w:val="32"/>
        </w:rPr>
        <w:t>行政执法机构按照审核意见纠正后应当再次将重大行政执法决定送审。</w:t>
      </w:r>
    </w:p>
    <w:p>
      <w:pPr>
        <w:ind w:firstLine="640" w:firstLineChars="200"/>
        <w:rPr>
          <w:rFonts w:ascii="仿宋" w:hAnsi="仿宋" w:eastAsia="仿宋"/>
          <w:sz w:val="32"/>
          <w:szCs w:val="32"/>
        </w:rPr>
      </w:pPr>
      <w:r>
        <w:rPr>
          <w:rFonts w:hint="eastAsia" w:ascii="仿宋" w:hAnsi="仿宋" w:eastAsia="仿宋"/>
          <w:sz w:val="32"/>
          <w:szCs w:val="32"/>
        </w:rPr>
        <w:t>第十九条法制审核机构对超出本机关管辖范围或涉嫌犯罪的，作出“不予核准”的审核意见。同时，提出向有关机关移送案件的意见。</w:t>
      </w:r>
    </w:p>
    <w:p>
      <w:pPr>
        <w:ind w:firstLine="640" w:firstLineChars="200"/>
        <w:rPr>
          <w:rFonts w:ascii="仿宋" w:hAnsi="仿宋" w:eastAsia="仿宋"/>
          <w:sz w:val="32"/>
          <w:szCs w:val="32"/>
        </w:rPr>
      </w:pPr>
      <w:r>
        <w:rPr>
          <w:rFonts w:hint="eastAsia" w:ascii="仿宋" w:hAnsi="仿宋" w:eastAsia="仿宋"/>
          <w:sz w:val="32"/>
          <w:szCs w:val="32"/>
        </w:rPr>
        <w:t>第二十条法制审核意见应当经法制审核机构集体讨论通过，审核意见形成后，应当制作《重大行政执法决定法制审核意见书》，一式两份，存档一份，一份随案卷材料一并送交行政执法机构。行政执法机构应当将《重大行政执法决定法制审核意见书》附卷保存。</w:t>
      </w:r>
    </w:p>
    <w:p>
      <w:pPr>
        <w:ind w:firstLine="640" w:firstLineChars="200"/>
        <w:rPr>
          <w:rFonts w:ascii="仿宋" w:hAnsi="仿宋" w:eastAsia="仿宋"/>
          <w:sz w:val="32"/>
          <w:szCs w:val="32"/>
        </w:rPr>
      </w:pPr>
      <w:r>
        <w:rPr>
          <w:rFonts w:hint="eastAsia" w:ascii="仿宋" w:hAnsi="仿宋" w:eastAsia="仿宋"/>
          <w:sz w:val="32"/>
          <w:szCs w:val="32"/>
        </w:rPr>
        <w:t>网上办案的行政执法机关，在网上流转程序中完成法制审核的，不再单独出具书面的《重大行政执法决定法制审核意见书》。</w:t>
      </w:r>
    </w:p>
    <w:p>
      <w:pPr>
        <w:ind w:firstLine="640" w:firstLineChars="200"/>
        <w:rPr>
          <w:rFonts w:ascii="仿宋" w:hAnsi="仿宋" w:eastAsia="仿宋"/>
          <w:sz w:val="32"/>
          <w:szCs w:val="32"/>
        </w:rPr>
      </w:pPr>
      <w:r>
        <w:rPr>
          <w:rFonts w:hint="eastAsia" w:ascii="仿宋" w:hAnsi="仿宋" w:eastAsia="仿宋"/>
          <w:sz w:val="32"/>
          <w:szCs w:val="32"/>
        </w:rPr>
        <w:t>第二十一条《重大行政执法决定审核意见书》应当包括以下内容：</w:t>
      </w:r>
    </w:p>
    <w:p>
      <w:pPr>
        <w:ind w:firstLine="640" w:firstLineChars="200"/>
        <w:rPr>
          <w:rFonts w:ascii="仿宋" w:hAnsi="仿宋" w:eastAsia="仿宋"/>
          <w:sz w:val="32"/>
          <w:szCs w:val="32"/>
        </w:rPr>
      </w:pPr>
      <w:r>
        <w:rPr>
          <w:rFonts w:hint="eastAsia" w:ascii="仿宋" w:hAnsi="仿宋" w:eastAsia="仿宋"/>
          <w:sz w:val="32"/>
          <w:szCs w:val="32"/>
        </w:rPr>
        <w:t>（一）法制审核机构名称、法制审核人员姓名；</w:t>
      </w:r>
    </w:p>
    <w:p>
      <w:pPr>
        <w:ind w:firstLine="640" w:firstLineChars="200"/>
        <w:rPr>
          <w:rFonts w:ascii="仿宋" w:hAnsi="仿宋" w:eastAsia="仿宋"/>
          <w:sz w:val="32"/>
          <w:szCs w:val="32"/>
        </w:rPr>
      </w:pPr>
      <w:r>
        <w:rPr>
          <w:rFonts w:hint="eastAsia" w:ascii="仿宋" w:hAnsi="仿宋" w:eastAsia="仿宋"/>
          <w:sz w:val="32"/>
          <w:szCs w:val="32"/>
        </w:rPr>
        <w:t>（二）送审的行政执法机构名称；</w:t>
      </w:r>
    </w:p>
    <w:p>
      <w:pPr>
        <w:ind w:firstLine="640" w:firstLineChars="200"/>
        <w:rPr>
          <w:rFonts w:ascii="仿宋" w:hAnsi="仿宋" w:eastAsia="仿宋"/>
          <w:sz w:val="32"/>
          <w:szCs w:val="32"/>
        </w:rPr>
      </w:pPr>
      <w:r>
        <w:rPr>
          <w:rFonts w:hint="eastAsia" w:ascii="仿宋" w:hAnsi="仿宋" w:eastAsia="仿宋"/>
          <w:sz w:val="32"/>
          <w:szCs w:val="32"/>
        </w:rPr>
        <w:t>（三）行政执法事项名称；</w:t>
      </w:r>
    </w:p>
    <w:p>
      <w:pPr>
        <w:ind w:firstLine="640" w:firstLineChars="200"/>
        <w:rPr>
          <w:rFonts w:ascii="仿宋" w:hAnsi="仿宋" w:eastAsia="仿宋"/>
          <w:sz w:val="32"/>
          <w:szCs w:val="32"/>
        </w:rPr>
      </w:pPr>
      <w:r>
        <w:rPr>
          <w:rFonts w:hint="eastAsia" w:ascii="仿宋" w:hAnsi="仿宋" w:eastAsia="仿宋"/>
          <w:sz w:val="32"/>
          <w:szCs w:val="32"/>
        </w:rPr>
        <w:t>（四）送审案件来源和送审时间；</w:t>
      </w:r>
    </w:p>
    <w:p>
      <w:pPr>
        <w:ind w:firstLine="640" w:firstLineChars="200"/>
        <w:rPr>
          <w:rFonts w:ascii="仿宋" w:hAnsi="仿宋" w:eastAsia="仿宋"/>
          <w:sz w:val="32"/>
          <w:szCs w:val="32"/>
        </w:rPr>
      </w:pPr>
      <w:r>
        <w:rPr>
          <w:rFonts w:hint="eastAsia" w:ascii="仿宋" w:hAnsi="仿宋" w:eastAsia="仿宋"/>
          <w:sz w:val="32"/>
          <w:szCs w:val="32"/>
        </w:rPr>
        <w:t>（四）对送审案件各项实质性内容审查的论述；</w:t>
      </w:r>
    </w:p>
    <w:p>
      <w:pPr>
        <w:ind w:firstLine="640" w:firstLineChars="200"/>
        <w:rPr>
          <w:rFonts w:ascii="仿宋" w:hAnsi="仿宋" w:eastAsia="仿宋"/>
          <w:sz w:val="32"/>
          <w:szCs w:val="32"/>
        </w:rPr>
      </w:pPr>
      <w:r>
        <w:rPr>
          <w:rFonts w:hint="eastAsia" w:ascii="仿宋" w:hAnsi="仿宋" w:eastAsia="仿宋"/>
          <w:sz w:val="32"/>
          <w:szCs w:val="32"/>
        </w:rPr>
        <w:t>（五）审核结论意见；</w:t>
      </w:r>
    </w:p>
    <w:p>
      <w:pPr>
        <w:ind w:firstLine="640" w:firstLineChars="200"/>
        <w:rPr>
          <w:rFonts w:ascii="仿宋" w:hAnsi="仿宋" w:eastAsia="仿宋"/>
          <w:sz w:val="32"/>
          <w:szCs w:val="32"/>
        </w:rPr>
      </w:pPr>
      <w:r>
        <w:rPr>
          <w:rFonts w:hint="eastAsia" w:ascii="仿宋" w:hAnsi="仿宋" w:eastAsia="仿宋"/>
          <w:sz w:val="32"/>
          <w:szCs w:val="32"/>
        </w:rPr>
        <w:t>（六）作出审核意见的时间。</w:t>
      </w:r>
    </w:p>
    <w:p>
      <w:pPr>
        <w:ind w:firstLine="640" w:firstLineChars="200"/>
        <w:rPr>
          <w:rFonts w:ascii="仿宋" w:hAnsi="仿宋" w:eastAsia="仿宋"/>
          <w:sz w:val="32"/>
          <w:szCs w:val="32"/>
        </w:rPr>
      </w:pPr>
      <w:r>
        <w:rPr>
          <w:rFonts w:hint="eastAsia" w:ascii="仿宋" w:hAnsi="仿宋" w:eastAsia="仿宋"/>
          <w:sz w:val="32"/>
          <w:szCs w:val="32"/>
        </w:rPr>
        <w:t>第二十二条行政执法机构对审核意见有异议的，可以向法制审核机构提出异议，进行沟通协调。行政执法机构和法制审核机构达成一致意见的，按该意见处理。未达成一致意见的，由法制审核机构报请主管领导决定或者本局集体讨论决定。</w:t>
      </w:r>
    </w:p>
    <w:p>
      <w:pPr>
        <w:ind w:firstLine="640" w:firstLineChars="200"/>
        <w:rPr>
          <w:rFonts w:ascii="仿宋" w:hAnsi="仿宋" w:eastAsia="仿宋"/>
          <w:sz w:val="32"/>
          <w:szCs w:val="32"/>
        </w:rPr>
      </w:pPr>
      <w:r>
        <w:rPr>
          <w:rFonts w:hint="eastAsia" w:ascii="仿宋" w:hAnsi="仿宋" w:eastAsia="仿宋"/>
          <w:sz w:val="32"/>
          <w:szCs w:val="32"/>
        </w:rPr>
        <w:t>第二十三条行政执法机构在对审核意见提出异议期间，不得做出行政执法决定。</w:t>
      </w:r>
    </w:p>
    <w:p>
      <w:pPr>
        <w:ind w:firstLine="640" w:firstLineChars="200"/>
        <w:rPr>
          <w:rFonts w:ascii="仿宋" w:hAnsi="仿宋" w:eastAsia="仿宋"/>
          <w:sz w:val="32"/>
          <w:szCs w:val="32"/>
          <w:shd w:val="clear" w:color="auto" w:fill="FFFFFF"/>
        </w:rPr>
      </w:pPr>
      <w:r>
        <w:rPr>
          <w:rFonts w:hint="eastAsia" w:ascii="仿宋" w:hAnsi="仿宋" w:eastAsia="仿宋"/>
          <w:sz w:val="32"/>
          <w:szCs w:val="32"/>
        </w:rPr>
        <w:t>第二十四条</w:t>
      </w:r>
      <w:r>
        <w:rPr>
          <w:rFonts w:hint="eastAsia" w:ascii="仿宋" w:hAnsi="仿宋" w:eastAsia="仿宋"/>
          <w:sz w:val="32"/>
          <w:szCs w:val="32"/>
          <w:shd w:val="clear" w:color="auto" w:fill="FFFFFF"/>
        </w:rPr>
        <w:t>行政执法机构对送审材料的真实性、完整性、准确性，以及执法的事实、证据、法律适用、程序的合法性负责。</w:t>
      </w:r>
    </w:p>
    <w:p>
      <w:pPr>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第二十五条法制机构对重大执法决定法制审核意见负责。</w:t>
      </w:r>
    </w:p>
    <w:p>
      <w:pPr>
        <w:ind w:firstLine="640" w:firstLineChars="200"/>
        <w:rPr>
          <w:rFonts w:ascii="仿宋" w:hAnsi="仿宋" w:eastAsia="仿宋"/>
          <w:sz w:val="32"/>
          <w:szCs w:val="32"/>
        </w:rPr>
      </w:pPr>
      <w:r>
        <w:rPr>
          <w:rFonts w:hint="eastAsia" w:ascii="仿宋" w:hAnsi="仿宋" w:eastAsia="仿宋"/>
          <w:sz w:val="32"/>
          <w:szCs w:val="32"/>
        </w:rPr>
        <w:t>第二十六条本制度自印发之日起施行。</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w:t>
      </w:r>
      <w:r>
        <w:rPr>
          <w:rFonts w:hint="eastAsia" w:ascii="仿宋" w:hAnsi="仿宋" w:eastAsia="仿宋"/>
          <w:sz w:val="32"/>
          <w:szCs w:val="32"/>
        </w:rPr>
        <w:t>重大行政执法决定法制审核申请表</w:t>
      </w:r>
    </w:p>
    <w:p>
      <w:pPr>
        <w:numPr>
          <w:ilvl w:val="0"/>
          <w:numId w:val="1"/>
        </w:numPr>
        <w:ind w:left="1600" w:leftChars="0" w:firstLine="0" w:firstLineChars="0"/>
        <w:rPr>
          <w:rFonts w:hint="eastAsia" w:ascii="仿宋" w:hAnsi="仿宋" w:eastAsia="仿宋"/>
          <w:sz w:val="32"/>
          <w:szCs w:val="32"/>
        </w:rPr>
      </w:pPr>
      <w:r>
        <w:rPr>
          <w:rFonts w:hint="eastAsia" w:ascii="仿宋" w:hAnsi="仿宋" w:eastAsia="仿宋"/>
          <w:sz w:val="32"/>
          <w:szCs w:val="32"/>
        </w:rPr>
        <w:t>重大行政执法决定法制审查意见书</w:t>
      </w: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snapToGrid w:val="0"/>
        <w:spacing w:line="560" w:lineRule="exact"/>
        <w:rPr>
          <w:rFonts w:hint="eastAsia" w:ascii="仿宋" w:hAnsi="仿宋" w:eastAsia="仿宋"/>
          <w:bCs/>
          <w:sz w:val="32"/>
          <w:szCs w:val="32"/>
          <w:shd w:val="clear" w:color="auto" w:fill="FFFFFF"/>
        </w:rPr>
      </w:pPr>
      <w:r>
        <w:rPr>
          <w:rFonts w:ascii="仿宋" w:hAnsi="仿宋" w:eastAsia="仿宋"/>
          <w:bCs/>
          <w:sz w:val="32"/>
          <w:szCs w:val="32"/>
          <w:shd w:val="clear" w:color="auto" w:fill="FFFFFF"/>
        </w:rPr>
        <w:t>附件</w:t>
      </w:r>
      <w:r>
        <w:rPr>
          <w:rFonts w:hint="eastAsia" w:ascii="仿宋" w:hAnsi="仿宋" w:eastAsia="仿宋"/>
          <w:bCs/>
          <w:sz w:val="32"/>
          <w:szCs w:val="32"/>
          <w:shd w:val="clear" w:color="auto" w:fill="FFFFFF"/>
        </w:rPr>
        <w:t>1</w:t>
      </w:r>
      <w:r>
        <w:rPr>
          <w:rFonts w:ascii="仿宋" w:hAnsi="仿宋" w:eastAsia="仿宋"/>
          <w:bCs/>
          <w:sz w:val="32"/>
          <w:szCs w:val="32"/>
          <w:shd w:val="clear" w:color="auto" w:fill="FFFFFF"/>
        </w:rPr>
        <w:t>：</w:t>
      </w:r>
    </w:p>
    <w:p>
      <w:pPr>
        <w:snapToGrid w:val="0"/>
        <w:spacing w:line="520" w:lineRule="exact"/>
        <w:rPr>
          <w:rFonts w:ascii="仿宋" w:hAnsi="仿宋" w:eastAsia="仿宋"/>
          <w:bCs/>
          <w:sz w:val="32"/>
          <w:szCs w:val="32"/>
          <w:shd w:val="clear" w:color="auto" w:fill="FFFFFF"/>
        </w:rPr>
      </w:pPr>
    </w:p>
    <w:p>
      <w:pPr>
        <w:spacing w:line="520" w:lineRule="exact"/>
        <w:jc w:val="center"/>
        <w:rPr>
          <w:rFonts w:hint="eastAsia" w:ascii="黑体" w:hAnsi="黑体" w:eastAsia="黑体"/>
          <w:sz w:val="44"/>
          <w:szCs w:val="44"/>
        </w:rPr>
      </w:pPr>
      <w:r>
        <w:rPr>
          <w:rFonts w:ascii="黑体" w:hAnsi="黑体" w:eastAsia="黑体"/>
          <w:sz w:val="44"/>
          <w:szCs w:val="44"/>
        </w:rPr>
        <w:t>重大行政执法决定法制审核申请表</w:t>
      </w:r>
    </w:p>
    <w:p>
      <w:pPr>
        <w:spacing w:line="520" w:lineRule="exact"/>
        <w:jc w:val="center"/>
        <w:rPr>
          <w:rFonts w:ascii="黑体" w:hAnsi="黑体" w:eastAsia="黑体"/>
          <w:sz w:val="44"/>
          <w:szCs w:val="44"/>
        </w:rPr>
      </w:pPr>
    </w:p>
    <w:tbl>
      <w:tblPr>
        <w:tblStyle w:val="7"/>
        <w:tblW w:w="0" w:type="auto"/>
        <w:tblInd w:w="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818"/>
        <w:gridCol w:w="2229"/>
        <w:gridCol w:w="291"/>
        <w:gridCol w:w="788"/>
        <w:gridCol w:w="1410"/>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526" w:type="dxa"/>
            <w:gridSpan w:val="2"/>
            <w:noWrap w:val="0"/>
            <w:vAlign w:val="top"/>
          </w:tcPr>
          <w:p>
            <w:pPr>
              <w:snapToGrid w:val="0"/>
              <w:spacing w:line="520" w:lineRule="exact"/>
              <w:jc w:val="center"/>
              <w:rPr>
                <w:rFonts w:ascii="宋体" w:hAnsi="宋体"/>
                <w:bCs/>
                <w:sz w:val="28"/>
                <w:szCs w:val="28"/>
                <w:shd w:val="clear" w:color="auto" w:fill="FFFFFF"/>
              </w:rPr>
            </w:pPr>
            <w:r>
              <w:rPr>
                <w:rFonts w:hint="eastAsia" w:ascii="宋体" w:hAnsi="宋体"/>
                <w:bCs/>
                <w:sz w:val="28"/>
                <w:szCs w:val="28"/>
                <w:shd w:val="clear" w:color="auto" w:fill="FFFFFF"/>
              </w:rPr>
              <w:t>案件名称</w:t>
            </w:r>
          </w:p>
        </w:tc>
        <w:tc>
          <w:tcPr>
            <w:tcW w:w="6611" w:type="dxa"/>
            <w:gridSpan w:val="5"/>
            <w:noWrap w:val="0"/>
            <w:vAlign w:val="top"/>
          </w:tcPr>
          <w:p>
            <w:pPr>
              <w:snapToGrid w:val="0"/>
              <w:spacing w:line="520" w:lineRule="exact"/>
              <w:jc w:val="center"/>
              <w:rPr>
                <w:rFonts w:ascii="宋体" w:hAnsi="宋体"/>
                <w:bCs/>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526" w:type="dxa"/>
            <w:gridSpan w:val="2"/>
            <w:noWrap w:val="0"/>
            <w:vAlign w:val="center"/>
          </w:tcPr>
          <w:p>
            <w:pPr>
              <w:snapToGrid w:val="0"/>
              <w:spacing w:line="520" w:lineRule="exact"/>
              <w:jc w:val="center"/>
              <w:rPr>
                <w:rFonts w:ascii="宋体" w:hAnsi="宋体"/>
                <w:bCs/>
                <w:sz w:val="28"/>
                <w:szCs w:val="28"/>
                <w:shd w:val="clear" w:color="auto" w:fill="FFFFFF"/>
              </w:rPr>
            </w:pPr>
            <w:r>
              <w:rPr>
                <w:rFonts w:hint="eastAsia" w:ascii="宋体" w:hAnsi="宋体"/>
                <w:bCs/>
                <w:sz w:val="28"/>
                <w:szCs w:val="28"/>
                <w:shd w:val="clear" w:color="auto" w:fill="FFFFFF"/>
              </w:rPr>
              <w:t>案件号</w:t>
            </w:r>
          </w:p>
        </w:tc>
        <w:tc>
          <w:tcPr>
            <w:tcW w:w="2229" w:type="dxa"/>
            <w:noWrap w:val="0"/>
            <w:vAlign w:val="center"/>
          </w:tcPr>
          <w:p>
            <w:pPr>
              <w:snapToGrid w:val="0"/>
              <w:spacing w:line="520" w:lineRule="exact"/>
              <w:jc w:val="center"/>
              <w:rPr>
                <w:rFonts w:ascii="宋体" w:hAnsi="宋体"/>
                <w:bCs/>
                <w:sz w:val="28"/>
                <w:szCs w:val="28"/>
                <w:shd w:val="clear" w:color="auto" w:fill="FFFFFF"/>
              </w:rPr>
            </w:pPr>
          </w:p>
        </w:tc>
        <w:tc>
          <w:tcPr>
            <w:tcW w:w="2489" w:type="dxa"/>
            <w:gridSpan w:val="3"/>
            <w:noWrap w:val="0"/>
            <w:vAlign w:val="center"/>
          </w:tcPr>
          <w:p>
            <w:pPr>
              <w:snapToGrid w:val="0"/>
              <w:spacing w:line="520" w:lineRule="exact"/>
              <w:jc w:val="center"/>
              <w:rPr>
                <w:rFonts w:ascii="宋体" w:hAnsi="宋体"/>
                <w:bCs/>
                <w:sz w:val="28"/>
                <w:szCs w:val="28"/>
                <w:shd w:val="clear" w:color="auto" w:fill="FFFFFF"/>
              </w:rPr>
            </w:pPr>
            <w:r>
              <w:rPr>
                <w:rFonts w:hint="eastAsia" w:ascii="宋体" w:hAnsi="宋体"/>
                <w:bCs/>
                <w:sz w:val="28"/>
                <w:szCs w:val="28"/>
                <w:shd w:val="clear" w:color="auto" w:fill="FFFFFF"/>
              </w:rPr>
              <w:t>承办机构</w:t>
            </w:r>
          </w:p>
        </w:tc>
        <w:tc>
          <w:tcPr>
            <w:tcW w:w="1893" w:type="dxa"/>
            <w:noWrap w:val="0"/>
            <w:vAlign w:val="top"/>
          </w:tcPr>
          <w:p>
            <w:pPr>
              <w:snapToGrid w:val="0"/>
              <w:spacing w:line="520" w:lineRule="exact"/>
              <w:jc w:val="center"/>
              <w:rPr>
                <w:rFonts w:ascii="宋体" w:hAnsi="宋体"/>
                <w:bCs/>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526" w:type="dxa"/>
            <w:gridSpan w:val="2"/>
            <w:noWrap w:val="0"/>
            <w:vAlign w:val="center"/>
          </w:tcPr>
          <w:p>
            <w:pPr>
              <w:snapToGrid w:val="0"/>
              <w:spacing w:line="520" w:lineRule="exact"/>
              <w:jc w:val="center"/>
              <w:rPr>
                <w:rFonts w:ascii="宋体" w:hAnsi="宋体"/>
                <w:bCs/>
                <w:szCs w:val="21"/>
                <w:shd w:val="clear" w:color="auto" w:fill="FFFFFF"/>
              </w:rPr>
            </w:pPr>
            <w:r>
              <w:rPr>
                <w:rFonts w:hint="eastAsia" w:ascii="宋体" w:hAnsi="宋体"/>
                <w:bCs/>
                <w:szCs w:val="21"/>
                <w:shd w:val="clear" w:color="auto" w:fill="FFFFFF"/>
              </w:rPr>
              <w:t>联系人及电话</w:t>
            </w:r>
          </w:p>
        </w:tc>
        <w:tc>
          <w:tcPr>
            <w:tcW w:w="3308" w:type="dxa"/>
            <w:gridSpan w:val="3"/>
            <w:noWrap w:val="0"/>
            <w:vAlign w:val="center"/>
          </w:tcPr>
          <w:p>
            <w:pPr>
              <w:snapToGrid w:val="0"/>
              <w:spacing w:line="520" w:lineRule="exact"/>
              <w:jc w:val="center"/>
              <w:rPr>
                <w:rFonts w:ascii="宋体" w:hAnsi="宋体"/>
                <w:bCs/>
                <w:sz w:val="28"/>
                <w:szCs w:val="28"/>
                <w:shd w:val="clear" w:color="auto" w:fill="FFFFFF"/>
              </w:rPr>
            </w:pPr>
          </w:p>
        </w:tc>
        <w:tc>
          <w:tcPr>
            <w:tcW w:w="1410" w:type="dxa"/>
            <w:noWrap w:val="0"/>
            <w:vAlign w:val="center"/>
          </w:tcPr>
          <w:p>
            <w:pPr>
              <w:snapToGrid w:val="0"/>
              <w:spacing w:line="520" w:lineRule="exact"/>
              <w:jc w:val="center"/>
              <w:rPr>
                <w:rFonts w:ascii="宋体" w:hAnsi="宋体"/>
                <w:bCs/>
                <w:sz w:val="28"/>
                <w:szCs w:val="28"/>
                <w:shd w:val="clear" w:color="auto" w:fill="FFFFFF"/>
              </w:rPr>
            </w:pPr>
            <w:r>
              <w:rPr>
                <w:rFonts w:hint="eastAsia" w:ascii="宋体" w:hAnsi="宋体"/>
                <w:bCs/>
                <w:sz w:val="28"/>
                <w:szCs w:val="28"/>
                <w:shd w:val="clear" w:color="auto" w:fill="FFFFFF"/>
              </w:rPr>
              <w:t>申请日期</w:t>
            </w:r>
          </w:p>
        </w:tc>
        <w:tc>
          <w:tcPr>
            <w:tcW w:w="1893" w:type="dxa"/>
            <w:noWrap w:val="0"/>
            <w:vAlign w:val="top"/>
          </w:tcPr>
          <w:p>
            <w:pPr>
              <w:snapToGrid w:val="0"/>
              <w:spacing w:line="520" w:lineRule="exact"/>
              <w:jc w:val="center"/>
              <w:rPr>
                <w:rFonts w:ascii="宋体" w:hAnsi="宋体"/>
                <w:bCs/>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trPr>
        <w:tc>
          <w:tcPr>
            <w:tcW w:w="708" w:type="dxa"/>
            <w:noWrap w:val="0"/>
            <w:vAlign w:val="center"/>
          </w:tcPr>
          <w:p>
            <w:pPr>
              <w:snapToGrid w:val="0"/>
              <w:spacing w:line="520" w:lineRule="exact"/>
              <w:jc w:val="center"/>
              <w:rPr>
                <w:rFonts w:hint="eastAsia" w:ascii="宋体" w:hAnsi="宋体"/>
                <w:bCs/>
                <w:sz w:val="24"/>
                <w:shd w:val="clear" w:color="auto" w:fill="FFFFFF"/>
              </w:rPr>
            </w:pPr>
            <w:r>
              <w:rPr>
                <w:rFonts w:hint="eastAsia" w:ascii="宋体" w:hAnsi="宋体"/>
                <w:bCs/>
                <w:sz w:val="24"/>
                <w:shd w:val="clear" w:color="auto" w:fill="FFFFFF"/>
              </w:rPr>
              <w:t>简</w:t>
            </w:r>
          </w:p>
          <w:p>
            <w:pPr>
              <w:snapToGrid w:val="0"/>
              <w:spacing w:line="520" w:lineRule="exact"/>
              <w:jc w:val="center"/>
              <w:rPr>
                <w:rFonts w:hint="eastAsia" w:ascii="宋体" w:hAnsi="宋体"/>
                <w:bCs/>
                <w:sz w:val="24"/>
                <w:shd w:val="clear" w:color="auto" w:fill="FFFFFF"/>
              </w:rPr>
            </w:pPr>
            <w:r>
              <w:rPr>
                <w:rFonts w:hint="eastAsia" w:ascii="宋体" w:hAnsi="宋体"/>
                <w:bCs/>
                <w:sz w:val="24"/>
                <w:shd w:val="clear" w:color="auto" w:fill="FFFFFF"/>
              </w:rPr>
              <w:t>要</w:t>
            </w:r>
          </w:p>
          <w:p>
            <w:pPr>
              <w:snapToGrid w:val="0"/>
              <w:spacing w:line="520" w:lineRule="exact"/>
              <w:jc w:val="center"/>
              <w:rPr>
                <w:rFonts w:hint="eastAsia" w:ascii="宋体" w:hAnsi="宋体"/>
                <w:bCs/>
                <w:sz w:val="24"/>
                <w:shd w:val="clear" w:color="auto" w:fill="FFFFFF"/>
              </w:rPr>
            </w:pPr>
            <w:r>
              <w:rPr>
                <w:rFonts w:hint="eastAsia" w:ascii="宋体" w:hAnsi="宋体"/>
                <w:bCs/>
                <w:sz w:val="24"/>
                <w:shd w:val="clear" w:color="auto" w:fill="FFFFFF"/>
              </w:rPr>
              <w:t>案</w:t>
            </w:r>
          </w:p>
          <w:p>
            <w:pPr>
              <w:snapToGrid w:val="0"/>
              <w:spacing w:line="520" w:lineRule="exact"/>
              <w:jc w:val="center"/>
              <w:rPr>
                <w:rFonts w:ascii="宋体" w:hAnsi="宋体"/>
                <w:bCs/>
                <w:sz w:val="28"/>
                <w:szCs w:val="28"/>
                <w:shd w:val="clear" w:color="auto" w:fill="FFFFFF"/>
              </w:rPr>
            </w:pPr>
            <w:r>
              <w:rPr>
                <w:rFonts w:hint="eastAsia" w:ascii="宋体" w:hAnsi="宋体"/>
                <w:bCs/>
                <w:sz w:val="24"/>
                <w:shd w:val="clear" w:color="auto" w:fill="FFFFFF"/>
              </w:rPr>
              <w:t>情</w:t>
            </w:r>
          </w:p>
        </w:tc>
        <w:tc>
          <w:tcPr>
            <w:tcW w:w="7429" w:type="dxa"/>
            <w:gridSpan w:val="6"/>
            <w:noWrap w:val="0"/>
            <w:vAlign w:val="top"/>
          </w:tcPr>
          <w:p>
            <w:pPr>
              <w:snapToGrid w:val="0"/>
              <w:spacing w:line="520" w:lineRule="exact"/>
              <w:jc w:val="center"/>
              <w:rPr>
                <w:rFonts w:ascii="宋体" w:hAnsi="宋体"/>
                <w:bCs/>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trPr>
        <w:tc>
          <w:tcPr>
            <w:tcW w:w="708" w:type="dxa"/>
            <w:noWrap w:val="0"/>
            <w:vAlign w:val="center"/>
          </w:tcPr>
          <w:p>
            <w:pPr>
              <w:snapToGrid w:val="0"/>
              <w:spacing w:line="520" w:lineRule="exact"/>
              <w:jc w:val="center"/>
              <w:rPr>
                <w:rFonts w:ascii="宋体" w:hAnsi="宋体"/>
                <w:bCs/>
                <w:sz w:val="24"/>
                <w:shd w:val="clear" w:color="auto" w:fill="FFFFFF"/>
              </w:rPr>
            </w:pPr>
            <w:r>
              <w:rPr>
                <w:rFonts w:hint="eastAsia" w:ascii="宋体" w:hAnsi="宋体"/>
                <w:bCs/>
                <w:sz w:val="24"/>
                <w:shd w:val="clear" w:color="auto" w:fill="FFFFFF"/>
              </w:rPr>
              <w:t>处理意见及依据</w:t>
            </w:r>
          </w:p>
        </w:tc>
        <w:tc>
          <w:tcPr>
            <w:tcW w:w="7429" w:type="dxa"/>
            <w:gridSpan w:val="6"/>
            <w:noWrap w:val="0"/>
            <w:vAlign w:val="top"/>
          </w:tcPr>
          <w:p>
            <w:pPr>
              <w:snapToGrid w:val="0"/>
              <w:spacing w:line="520" w:lineRule="exact"/>
              <w:jc w:val="center"/>
              <w:rPr>
                <w:rFonts w:ascii="宋体" w:hAnsi="宋体"/>
                <w:bCs/>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trPr>
        <w:tc>
          <w:tcPr>
            <w:tcW w:w="708" w:type="dxa"/>
            <w:noWrap w:val="0"/>
            <w:vAlign w:val="center"/>
          </w:tcPr>
          <w:p>
            <w:pPr>
              <w:snapToGrid w:val="0"/>
              <w:spacing w:line="520" w:lineRule="exact"/>
              <w:jc w:val="center"/>
              <w:rPr>
                <w:rFonts w:ascii="宋体" w:hAnsi="宋体"/>
                <w:bCs/>
                <w:sz w:val="24"/>
                <w:shd w:val="clear" w:color="auto" w:fill="FFFFFF"/>
              </w:rPr>
            </w:pPr>
            <w:r>
              <w:rPr>
                <w:rFonts w:hint="eastAsia" w:ascii="宋体" w:hAnsi="宋体"/>
                <w:bCs/>
                <w:sz w:val="24"/>
                <w:shd w:val="clear" w:color="auto" w:fill="FFFFFF"/>
              </w:rPr>
              <w:t>所附证据材料</w:t>
            </w:r>
          </w:p>
        </w:tc>
        <w:tc>
          <w:tcPr>
            <w:tcW w:w="7429" w:type="dxa"/>
            <w:gridSpan w:val="6"/>
            <w:noWrap w:val="0"/>
            <w:vAlign w:val="top"/>
          </w:tcPr>
          <w:p>
            <w:pPr>
              <w:snapToGrid w:val="0"/>
              <w:spacing w:line="520" w:lineRule="exact"/>
              <w:jc w:val="center"/>
              <w:rPr>
                <w:rFonts w:ascii="宋体" w:hAnsi="宋体"/>
                <w:bCs/>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4" w:hRule="atLeast"/>
        </w:trPr>
        <w:tc>
          <w:tcPr>
            <w:tcW w:w="4046" w:type="dxa"/>
            <w:gridSpan w:val="4"/>
            <w:noWrap w:val="0"/>
            <w:vAlign w:val="top"/>
          </w:tcPr>
          <w:p>
            <w:pPr>
              <w:snapToGrid w:val="0"/>
              <w:spacing w:line="520" w:lineRule="exact"/>
              <w:rPr>
                <w:rFonts w:hint="eastAsia" w:ascii="宋体" w:hAnsi="宋体"/>
                <w:bCs/>
                <w:sz w:val="28"/>
                <w:szCs w:val="28"/>
                <w:shd w:val="clear" w:color="auto" w:fill="FFFFFF"/>
              </w:rPr>
            </w:pPr>
          </w:p>
          <w:p>
            <w:pPr>
              <w:snapToGrid w:val="0"/>
              <w:spacing w:line="520" w:lineRule="exact"/>
              <w:rPr>
                <w:rFonts w:hint="eastAsia" w:ascii="宋体" w:hAnsi="宋体"/>
                <w:bCs/>
                <w:sz w:val="28"/>
                <w:szCs w:val="28"/>
                <w:shd w:val="clear" w:color="auto" w:fill="FFFFFF"/>
              </w:rPr>
            </w:pPr>
          </w:p>
          <w:p>
            <w:pPr>
              <w:snapToGrid w:val="0"/>
              <w:spacing w:line="520" w:lineRule="exact"/>
              <w:rPr>
                <w:rFonts w:hint="eastAsia" w:ascii="宋体" w:hAnsi="宋体"/>
                <w:bCs/>
                <w:sz w:val="28"/>
                <w:szCs w:val="28"/>
                <w:shd w:val="clear" w:color="auto" w:fill="FFFFFF"/>
              </w:rPr>
            </w:pPr>
            <w:r>
              <w:rPr>
                <w:rFonts w:hint="eastAsia" w:ascii="宋体" w:hAnsi="宋体"/>
                <w:bCs/>
                <w:sz w:val="28"/>
                <w:szCs w:val="28"/>
                <w:shd w:val="clear" w:color="auto" w:fill="FFFFFF"/>
              </w:rPr>
              <w:t xml:space="preserve">         经办人：</w:t>
            </w:r>
          </w:p>
          <w:p>
            <w:pPr>
              <w:snapToGrid w:val="0"/>
              <w:spacing w:line="520" w:lineRule="exact"/>
              <w:rPr>
                <w:rFonts w:hint="eastAsia" w:ascii="宋体" w:hAnsi="宋体"/>
                <w:bCs/>
                <w:sz w:val="28"/>
                <w:szCs w:val="28"/>
                <w:shd w:val="clear" w:color="auto" w:fill="FFFFFF"/>
              </w:rPr>
            </w:pPr>
          </w:p>
          <w:p>
            <w:pPr>
              <w:snapToGrid w:val="0"/>
              <w:spacing w:line="520" w:lineRule="exact"/>
              <w:rPr>
                <w:rFonts w:ascii="宋体" w:hAnsi="宋体"/>
                <w:bCs/>
                <w:sz w:val="28"/>
                <w:szCs w:val="28"/>
                <w:shd w:val="clear" w:color="auto" w:fill="FFFFFF"/>
              </w:rPr>
            </w:pPr>
            <w:r>
              <w:rPr>
                <w:rFonts w:hint="eastAsia" w:ascii="宋体" w:hAnsi="宋体"/>
                <w:bCs/>
                <w:sz w:val="28"/>
                <w:szCs w:val="28"/>
                <w:shd w:val="clear" w:color="auto" w:fill="FFFFFF"/>
              </w:rPr>
              <w:t xml:space="preserve">            年    月     日</w:t>
            </w:r>
          </w:p>
        </w:tc>
        <w:tc>
          <w:tcPr>
            <w:tcW w:w="4091" w:type="dxa"/>
            <w:gridSpan w:val="3"/>
            <w:noWrap w:val="0"/>
            <w:vAlign w:val="top"/>
          </w:tcPr>
          <w:p>
            <w:pPr>
              <w:snapToGrid w:val="0"/>
              <w:spacing w:line="520" w:lineRule="exact"/>
              <w:rPr>
                <w:rFonts w:hint="eastAsia" w:ascii="宋体" w:hAnsi="宋体"/>
                <w:bCs/>
                <w:sz w:val="28"/>
                <w:szCs w:val="28"/>
                <w:shd w:val="clear" w:color="auto" w:fill="FFFFFF"/>
              </w:rPr>
            </w:pPr>
          </w:p>
          <w:p>
            <w:pPr>
              <w:snapToGrid w:val="0"/>
              <w:spacing w:line="520" w:lineRule="exact"/>
              <w:rPr>
                <w:rFonts w:hint="eastAsia" w:ascii="宋体" w:hAnsi="宋体"/>
                <w:bCs/>
                <w:sz w:val="28"/>
                <w:szCs w:val="28"/>
                <w:shd w:val="clear" w:color="auto" w:fill="FFFFFF"/>
              </w:rPr>
            </w:pPr>
          </w:p>
          <w:p>
            <w:pPr>
              <w:snapToGrid w:val="0"/>
              <w:spacing w:line="520" w:lineRule="exact"/>
              <w:rPr>
                <w:rFonts w:hint="eastAsia" w:ascii="宋体" w:hAnsi="宋体"/>
                <w:bCs/>
                <w:sz w:val="28"/>
                <w:szCs w:val="28"/>
                <w:shd w:val="clear" w:color="auto" w:fill="FFFFFF"/>
              </w:rPr>
            </w:pPr>
            <w:r>
              <w:rPr>
                <w:rFonts w:hint="eastAsia" w:ascii="宋体" w:hAnsi="宋体"/>
                <w:bCs/>
                <w:sz w:val="28"/>
                <w:szCs w:val="28"/>
                <w:shd w:val="clear" w:color="auto" w:fill="FFFFFF"/>
              </w:rPr>
              <w:t>负责人</w:t>
            </w:r>
            <w:r>
              <w:rPr>
                <w:rFonts w:hint="eastAsia" w:ascii="宋体" w:hAnsi="宋体"/>
                <w:bCs/>
                <w:szCs w:val="21"/>
                <w:shd w:val="clear" w:color="auto" w:fill="FFFFFF"/>
              </w:rPr>
              <w:t>（签字并盖章）</w:t>
            </w:r>
            <w:r>
              <w:rPr>
                <w:rFonts w:hint="eastAsia" w:ascii="宋体" w:hAnsi="宋体"/>
                <w:bCs/>
                <w:sz w:val="28"/>
                <w:szCs w:val="28"/>
                <w:shd w:val="clear" w:color="auto" w:fill="FFFFFF"/>
              </w:rPr>
              <w:t>：</w:t>
            </w:r>
          </w:p>
          <w:p>
            <w:pPr>
              <w:snapToGrid w:val="0"/>
              <w:spacing w:line="520" w:lineRule="exact"/>
              <w:rPr>
                <w:rFonts w:hint="eastAsia" w:ascii="宋体" w:hAnsi="宋体"/>
                <w:bCs/>
                <w:sz w:val="28"/>
                <w:szCs w:val="28"/>
                <w:shd w:val="clear" w:color="auto" w:fill="FFFFFF"/>
              </w:rPr>
            </w:pPr>
          </w:p>
          <w:p>
            <w:pPr>
              <w:snapToGrid w:val="0"/>
              <w:spacing w:line="520" w:lineRule="exact"/>
              <w:rPr>
                <w:rFonts w:ascii="宋体" w:hAnsi="宋体"/>
                <w:bCs/>
                <w:sz w:val="28"/>
                <w:szCs w:val="28"/>
                <w:shd w:val="clear" w:color="auto" w:fill="FFFFFF"/>
              </w:rPr>
            </w:pPr>
            <w:r>
              <w:rPr>
                <w:rFonts w:hint="eastAsia" w:ascii="宋体" w:hAnsi="宋体"/>
                <w:bCs/>
                <w:sz w:val="28"/>
                <w:szCs w:val="28"/>
                <w:shd w:val="clear" w:color="auto" w:fill="FFFFFF"/>
              </w:rPr>
              <w:t xml:space="preserve">            年    月     日</w:t>
            </w:r>
          </w:p>
        </w:tc>
      </w:tr>
    </w:tbl>
    <w:p>
      <w:pPr>
        <w:snapToGrid w:val="0"/>
        <w:spacing w:line="520" w:lineRule="exact"/>
        <w:rPr>
          <w:rFonts w:hint="eastAsia" w:ascii="仿宋" w:hAnsi="仿宋" w:eastAsia="仿宋"/>
          <w:bCs/>
          <w:sz w:val="32"/>
          <w:szCs w:val="32"/>
          <w:shd w:val="clear" w:color="auto" w:fill="FFFFFF"/>
        </w:rPr>
      </w:pPr>
      <w:r>
        <w:rPr>
          <w:rFonts w:ascii="仿宋" w:hAnsi="仿宋" w:eastAsia="仿宋"/>
          <w:bCs/>
          <w:sz w:val="32"/>
          <w:szCs w:val="32"/>
          <w:shd w:val="clear" w:color="auto" w:fill="FFFFFF"/>
        </w:rPr>
        <w:br w:type="page"/>
      </w:r>
      <w:r>
        <w:rPr>
          <w:rFonts w:ascii="仿宋" w:hAnsi="仿宋" w:eastAsia="仿宋"/>
          <w:bCs/>
          <w:sz w:val="32"/>
          <w:szCs w:val="32"/>
          <w:shd w:val="clear" w:color="auto" w:fill="FFFFFF"/>
        </w:rPr>
        <w:t>附件2：</w:t>
      </w:r>
    </w:p>
    <w:p>
      <w:pPr>
        <w:snapToGrid w:val="0"/>
        <w:spacing w:line="520" w:lineRule="exact"/>
        <w:rPr>
          <w:rFonts w:ascii="仿宋" w:hAnsi="仿宋" w:eastAsia="仿宋"/>
          <w:bCs/>
          <w:sz w:val="32"/>
          <w:szCs w:val="32"/>
          <w:shd w:val="clear" w:color="auto" w:fill="FFFFFF"/>
        </w:rPr>
      </w:pPr>
    </w:p>
    <w:p>
      <w:pPr>
        <w:spacing w:line="520" w:lineRule="exact"/>
        <w:jc w:val="center"/>
        <w:rPr>
          <w:rFonts w:ascii="黑体" w:hAnsi="黑体" w:eastAsia="黑体"/>
          <w:sz w:val="44"/>
          <w:szCs w:val="44"/>
        </w:rPr>
      </w:pPr>
      <w:r>
        <w:rPr>
          <w:rFonts w:ascii="黑体" w:hAnsi="黑体" w:eastAsia="黑体"/>
          <w:sz w:val="44"/>
          <w:szCs w:val="44"/>
        </w:rPr>
        <w:t>重大行政执法决定合法性审查意见书</w:t>
      </w:r>
      <w:bookmarkStart w:id="0" w:name="_GoBack"/>
      <w:bookmarkEnd w:id="0"/>
    </w:p>
    <w:p>
      <w:pPr>
        <w:spacing w:after="312" w:afterLines="100" w:line="520" w:lineRule="exact"/>
        <w:jc w:val="right"/>
        <w:rPr>
          <w:rFonts w:hint="eastAsia" w:ascii="仿宋_GB2312" w:hAnsi="仿宋" w:eastAsia="仿宋_GB2312"/>
          <w:sz w:val="32"/>
          <w:szCs w:val="32"/>
        </w:rPr>
      </w:pPr>
      <w:r>
        <w:rPr>
          <w:rFonts w:hint="eastAsia" w:ascii="仿宋_GB2312" w:hAnsi="仿宋" w:eastAsia="仿宋_GB2312"/>
          <w:sz w:val="32"/>
          <w:szCs w:val="32"/>
        </w:rPr>
        <w:t>抚</w:t>
      </w:r>
      <w:r>
        <w:rPr>
          <w:rFonts w:hint="eastAsia" w:ascii="仿宋_GB2312" w:hAnsi="仿宋" w:eastAsia="仿宋_GB2312"/>
          <w:sz w:val="32"/>
          <w:szCs w:val="32"/>
          <w:lang w:val="en-US" w:eastAsia="zh-CN"/>
        </w:rPr>
        <w:t>县</w:t>
      </w:r>
      <w:r>
        <w:rPr>
          <w:rFonts w:hint="eastAsia" w:ascii="仿宋_GB2312" w:hAnsi="仿宋" w:eastAsia="仿宋_GB2312"/>
          <w:sz w:val="32"/>
          <w:szCs w:val="32"/>
        </w:rPr>
        <w:t>应急法审〔      〕   号</w:t>
      </w:r>
    </w:p>
    <w:p>
      <w:pPr>
        <w:spacing w:line="520" w:lineRule="exact"/>
        <w:rPr>
          <w:rFonts w:hint="eastAsia"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按照重大行政执法决定法制审核的有关规定，我</w:t>
      </w:r>
      <w:r>
        <w:rPr>
          <w:rFonts w:hint="eastAsia" w:ascii="仿宋_GB2312" w:hAnsi="仿宋" w:eastAsia="仿宋_GB2312"/>
          <w:sz w:val="32"/>
          <w:szCs w:val="32"/>
          <w:lang w:val="en-US" w:eastAsia="zh-CN"/>
        </w:rPr>
        <w:t>局</w:t>
      </w:r>
      <w:r>
        <w:rPr>
          <w:rFonts w:hint="eastAsia" w:ascii="仿宋_GB2312" w:hAnsi="仿宋" w:eastAsia="仿宋_GB2312"/>
          <w:sz w:val="32"/>
          <w:szCs w:val="32"/>
        </w:rPr>
        <w:t>组织法制审核小组对你单位提交的</w:t>
      </w:r>
      <w:r>
        <w:rPr>
          <w:rFonts w:hint="eastAsia" w:ascii="仿宋_GB2312" w:hAnsi="仿宋" w:eastAsia="仿宋_GB2312"/>
          <w:sz w:val="32"/>
          <w:szCs w:val="32"/>
          <w:u w:val="single"/>
        </w:rPr>
        <w:t xml:space="preserve">                              </w:t>
      </w:r>
      <w:r>
        <w:rPr>
          <w:rFonts w:hint="eastAsia" w:ascii="仿宋_GB2312" w:hAnsi="仿宋" w:eastAsia="仿宋_GB2312"/>
          <w:sz w:val="32"/>
          <w:szCs w:val="32"/>
        </w:rPr>
        <w:t>案件进行了合法性审核，提出以下意见：</w:t>
      </w:r>
    </w:p>
    <w:p>
      <w:pPr>
        <w:autoSpaceDE w:val="0"/>
        <w:adjustRightInd w:val="0"/>
        <w:snapToGrid w:val="0"/>
        <w:spacing w:line="520" w:lineRule="exact"/>
        <w:ind w:firstLine="640" w:firstLineChars="200"/>
        <w:rPr>
          <w:rFonts w:hint="eastAsia" w:ascii="仿宋_GB2312" w:hAnsi="仿宋" w:eastAsia="仿宋_GB2312"/>
          <w:bCs/>
          <w:sz w:val="32"/>
          <w:szCs w:val="32"/>
          <w:shd w:val="clear" w:color="auto" w:fill="FFFFFF"/>
        </w:rPr>
      </w:pPr>
      <w:r>
        <w:rPr>
          <w:rFonts w:hint="eastAsia" w:ascii="仿宋_GB2312" w:hAnsi="仿宋" w:eastAsia="仿宋_GB2312"/>
          <w:bCs/>
          <w:sz w:val="32"/>
          <w:szCs w:val="32"/>
          <w:shd w:val="clear" w:color="auto" w:fill="FFFFFF"/>
        </w:rPr>
        <w:t xml:space="preserve"> □同意；</w:t>
      </w:r>
    </w:p>
    <w:p>
      <w:pPr>
        <w:autoSpaceDE w:val="0"/>
        <w:adjustRightInd w:val="0"/>
        <w:snapToGrid w:val="0"/>
        <w:spacing w:line="520" w:lineRule="exact"/>
        <w:ind w:firstLine="640" w:firstLineChars="200"/>
        <w:rPr>
          <w:rFonts w:hint="eastAsia" w:ascii="仿宋_GB2312" w:hAnsi="仿宋" w:eastAsia="仿宋_GB2312"/>
          <w:bCs/>
          <w:sz w:val="32"/>
          <w:szCs w:val="32"/>
          <w:shd w:val="clear" w:color="auto" w:fill="FFFFFF"/>
        </w:rPr>
      </w:pPr>
      <w:r>
        <w:rPr>
          <w:rFonts w:hint="eastAsia" w:ascii="仿宋_GB2312" w:hAnsi="仿宋" w:eastAsia="仿宋_GB2312"/>
          <w:bCs/>
          <w:sz w:val="32"/>
          <w:szCs w:val="32"/>
          <w:shd w:val="clear" w:color="auto" w:fill="FFFFFF"/>
        </w:rPr>
        <w:t xml:space="preserve"> □不同意；</w:t>
      </w:r>
    </w:p>
    <w:p>
      <w:pPr>
        <w:autoSpaceDE w:val="0"/>
        <w:adjustRightInd w:val="0"/>
        <w:snapToGrid w:val="0"/>
        <w:spacing w:line="520" w:lineRule="exact"/>
        <w:ind w:firstLine="640" w:firstLineChars="200"/>
        <w:rPr>
          <w:rFonts w:hint="eastAsia" w:ascii="仿宋_GB2312" w:hAnsi="仿宋" w:eastAsia="仿宋_GB2312"/>
          <w:bCs/>
          <w:sz w:val="32"/>
          <w:szCs w:val="32"/>
          <w:shd w:val="clear" w:color="auto" w:fill="FFFFFF"/>
        </w:rPr>
      </w:pPr>
      <w:r>
        <w:rPr>
          <w:rFonts w:hint="eastAsia" w:ascii="仿宋_GB2312" w:hAnsi="仿宋" w:eastAsia="仿宋_GB2312"/>
          <w:bCs/>
          <w:sz w:val="32"/>
          <w:szCs w:val="32"/>
          <w:shd w:val="clear" w:color="auto" w:fill="FFFFFF"/>
        </w:rPr>
        <w:t xml:space="preserve"> □违法行为不能成立，不予作出行政执法决定；</w:t>
      </w:r>
    </w:p>
    <w:p>
      <w:pPr>
        <w:autoSpaceDE w:val="0"/>
        <w:adjustRightInd w:val="0"/>
        <w:snapToGrid w:val="0"/>
        <w:spacing w:line="520" w:lineRule="exact"/>
        <w:ind w:firstLine="640" w:firstLineChars="200"/>
        <w:rPr>
          <w:rFonts w:hint="eastAsia" w:ascii="仿宋_GB2312" w:hAnsi="仿宋" w:eastAsia="仿宋_GB2312"/>
          <w:bCs/>
          <w:sz w:val="32"/>
          <w:szCs w:val="32"/>
          <w:shd w:val="clear" w:color="auto" w:fill="FFFFFF"/>
        </w:rPr>
      </w:pPr>
      <w:r>
        <w:rPr>
          <w:rFonts w:hint="eastAsia" w:ascii="仿宋_GB2312" w:hAnsi="仿宋" w:eastAsia="仿宋_GB2312"/>
          <w:bCs/>
          <w:sz w:val="32"/>
          <w:szCs w:val="32"/>
          <w:shd w:val="clear" w:color="auto" w:fill="FFFFFF"/>
        </w:rPr>
        <w:t xml:space="preserve"> □重新调查（或补充调查）； </w:t>
      </w:r>
    </w:p>
    <w:p>
      <w:pPr>
        <w:autoSpaceDE w:val="0"/>
        <w:adjustRightInd w:val="0"/>
        <w:snapToGrid w:val="0"/>
        <w:spacing w:line="520" w:lineRule="exact"/>
        <w:ind w:firstLine="640" w:firstLineChars="200"/>
        <w:rPr>
          <w:rFonts w:hint="eastAsia" w:ascii="仿宋_GB2312" w:hAnsi="仿宋" w:eastAsia="仿宋_GB2312"/>
          <w:bCs/>
          <w:sz w:val="32"/>
          <w:szCs w:val="32"/>
          <w:shd w:val="clear" w:color="auto" w:fill="FFFFFF"/>
        </w:rPr>
      </w:pPr>
      <w:r>
        <w:rPr>
          <w:rFonts w:hint="eastAsia" w:ascii="仿宋_GB2312" w:hAnsi="仿宋" w:eastAsia="仿宋_GB2312"/>
          <w:bCs/>
          <w:sz w:val="32"/>
          <w:szCs w:val="32"/>
          <w:shd w:val="clear" w:color="auto" w:fill="FFFFFF"/>
        </w:rPr>
        <w:t xml:space="preserve"> □变更或修正行政执法决定；</w:t>
      </w:r>
    </w:p>
    <w:p>
      <w:pPr>
        <w:autoSpaceDE w:val="0"/>
        <w:adjustRightInd w:val="0"/>
        <w:snapToGrid w:val="0"/>
        <w:spacing w:line="520" w:lineRule="exact"/>
        <w:ind w:firstLine="640" w:firstLineChars="200"/>
        <w:rPr>
          <w:rFonts w:hint="eastAsia" w:ascii="仿宋_GB2312" w:hAnsi="仿宋" w:eastAsia="仿宋_GB2312"/>
          <w:bCs/>
          <w:sz w:val="32"/>
          <w:szCs w:val="32"/>
          <w:shd w:val="clear" w:color="auto" w:fill="FFFFFF"/>
        </w:rPr>
      </w:pPr>
      <w:r>
        <w:rPr>
          <w:rFonts w:hint="eastAsia" w:ascii="仿宋_GB2312" w:hAnsi="仿宋" w:eastAsia="仿宋_GB2312"/>
          <w:bCs/>
          <w:sz w:val="32"/>
          <w:szCs w:val="32"/>
          <w:shd w:val="clear" w:color="auto" w:fill="FFFFFF"/>
        </w:rPr>
        <w:t xml:space="preserve"> □纠正程序违法行为；</w:t>
      </w:r>
    </w:p>
    <w:p>
      <w:pPr>
        <w:spacing w:line="520" w:lineRule="exact"/>
        <w:ind w:firstLine="640" w:firstLineChars="200"/>
        <w:rPr>
          <w:rFonts w:hint="eastAsia" w:ascii="仿宋_GB2312" w:hAnsi="仿宋" w:eastAsia="仿宋_GB2312"/>
          <w:bCs/>
          <w:sz w:val="32"/>
          <w:szCs w:val="32"/>
          <w:shd w:val="clear" w:color="auto" w:fill="FFFFFF"/>
        </w:rPr>
      </w:pPr>
      <w:r>
        <w:rPr>
          <w:rFonts w:hint="eastAsia" w:ascii="仿宋_GB2312" w:hAnsi="仿宋" w:eastAsia="仿宋_GB2312"/>
          <w:bCs/>
          <w:sz w:val="32"/>
          <w:szCs w:val="32"/>
          <w:shd w:val="clear" w:color="auto" w:fill="FFFFFF"/>
        </w:rPr>
        <w:t xml:space="preserve"> □依法移送有关部门。</w:t>
      </w:r>
    </w:p>
    <w:p>
      <w:pPr>
        <w:spacing w:line="520" w:lineRule="exact"/>
        <w:ind w:firstLine="640" w:firstLineChars="200"/>
        <w:rPr>
          <w:rFonts w:hint="eastAsia" w:ascii="仿宋_GB2312" w:hAnsi="仿宋" w:eastAsia="仿宋_GB2312"/>
          <w:sz w:val="32"/>
          <w:szCs w:val="32"/>
          <w:u w:val="single"/>
        </w:rPr>
      </w:pPr>
      <w:r>
        <w:rPr>
          <w:rFonts w:hint="eastAsia" w:ascii="仿宋_GB2312" w:hAnsi="仿宋" w:eastAsia="仿宋_GB2312"/>
          <w:sz w:val="32"/>
          <w:szCs w:val="32"/>
        </w:rPr>
        <w:t>理由及依据：</w:t>
      </w:r>
      <w:r>
        <w:rPr>
          <w:rFonts w:hint="eastAsia" w:ascii="仿宋_GB2312" w:hAnsi="仿宋" w:eastAsia="仿宋_GB2312"/>
          <w:sz w:val="32"/>
          <w:szCs w:val="32"/>
          <w:u w:val="single"/>
        </w:rPr>
        <w:t xml:space="preserve">                                         </w:t>
      </w:r>
    </w:p>
    <w:p>
      <w:pPr>
        <w:spacing w:line="520" w:lineRule="exact"/>
        <w:rPr>
          <w:rFonts w:hint="eastAsia" w:ascii="仿宋_GB2312" w:hAnsi="仿宋" w:eastAsia="仿宋_GB2312"/>
          <w:sz w:val="32"/>
          <w:szCs w:val="32"/>
          <w:u w:val="single"/>
        </w:rPr>
      </w:pPr>
      <w:r>
        <w:rPr>
          <w:rFonts w:hint="eastAsia" w:ascii="仿宋_GB2312" w:hAnsi="仿宋" w:eastAsia="仿宋_GB2312"/>
          <w:sz w:val="32"/>
          <w:szCs w:val="32"/>
          <w:u w:val="single"/>
        </w:rPr>
        <w:t xml:space="preserve">                                                         </w:t>
      </w:r>
    </w:p>
    <w:p>
      <w:pPr>
        <w:spacing w:line="520" w:lineRule="exact"/>
        <w:rPr>
          <w:rFonts w:hint="eastAsia" w:ascii="仿宋_GB2312" w:hAnsi="仿宋" w:eastAsia="仿宋_GB2312"/>
          <w:sz w:val="32"/>
          <w:szCs w:val="32"/>
          <w:u w:val="single"/>
        </w:rPr>
      </w:pPr>
      <w:r>
        <w:rPr>
          <w:rFonts w:hint="eastAsia" w:ascii="仿宋_GB2312" w:hAnsi="仿宋" w:eastAsia="仿宋_GB2312"/>
          <w:sz w:val="32"/>
          <w:szCs w:val="32"/>
          <w:u w:val="single"/>
        </w:rPr>
        <w:t xml:space="preserve">                                                         </w:t>
      </w:r>
    </w:p>
    <w:p>
      <w:pPr>
        <w:spacing w:before="156" w:beforeLines="50" w:line="520" w:lineRule="exact"/>
        <w:rPr>
          <w:rFonts w:hint="eastAsia" w:ascii="仿宋_GB2312" w:hAnsi="仿宋" w:eastAsia="仿宋_GB2312"/>
          <w:sz w:val="32"/>
          <w:szCs w:val="32"/>
        </w:rPr>
      </w:pPr>
      <w:r>
        <w:rPr>
          <w:rFonts w:hint="eastAsia" w:ascii="仿宋_GB2312" w:hAnsi="仿宋" w:eastAsia="仿宋_GB2312"/>
          <w:sz w:val="32"/>
          <w:szCs w:val="32"/>
        </w:rPr>
        <w:t>法制审核人员：</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spacing w:line="520" w:lineRule="exact"/>
        <w:rPr>
          <w:rFonts w:hint="eastAsia" w:ascii="仿宋_GB2312" w:hAnsi="仿宋" w:eastAsia="仿宋_GB2312"/>
          <w:sz w:val="32"/>
          <w:szCs w:val="32"/>
        </w:rPr>
      </w:pPr>
    </w:p>
    <w:p>
      <w:pPr>
        <w:spacing w:line="520" w:lineRule="exact"/>
        <w:jc w:val="left"/>
        <w:rPr>
          <w:rFonts w:hint="default" w:ascii="仿宋_GB2312" w:hAnsi="仿宋" w:eastAsia="仿宋_GB2312"/>
          <w:sz w:val="32"/>
          <w:szCs w:val="32"/>
          <w:lang w:val="en-US" w:eastAsia="zh-CN"/>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抚顺县农业综合执法队</w:t>
      </w:r>
    </w:p>
    <w:p>
      <w:pPr>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年     月    日</w:t>
      </w:r>
    </w:p>
    <w:p>
      <w:pPr>
        <w:spacing w:line="520" w:lineRule="exact"/>
        <w:jc w:val="right"/>
        <w:rPr>
          <w:rFonts w:hint="eastAsia" w:ascii="仿宋_GB2312" w:hAnsi="仿宋" w:eastAsia="仿宋_GB2312"/>
          <w:sz w:val="32"/>
          <w:szCs w:val="32"/>
        </w:rPr>
      </w:pPr>
      <w:r>
        <w:rPr>
          <w:rFonts w:hint="eastAsia" w:ascii="仿宋_GB2312" w:hAnsi="仿宋" w:eastAsia="仿宋_GB2312"/>
          <w:sz w:val="32"/>
          <w:szCs w:val="32"/>
        </w:rPr>
        <w:pict>
          <v:line id="直接连接符 5" o:spid="_x0000_s1026" o:spt="20" style="position:absolute;left:0pt;margin-left:-1.7pt;margin-top:8.2pt;height:0pt;width:452.8pt;z-index:251658240;mso-width-relative:page;mso-height-relative:page;" filled="f" coordsize="21600,21600">
            <v:path arrowok="t"/>
            <v:fill on="f" focussize="0,0"/>
            <v:stroke weight="1.5pt"/>
            <v:imagedata o:title=""/>
            <o:lock v:ext="edit" grouping="f" rotation="f" text="f" aspectratio="f"/>
          </v:line>
        </w:pict>
      </w:r>
    </w:p>
    <w:p>
      <w:pPr>
        <w:spacing w:line="520" w:lineRule="exact"/>
        <w:jc w:val="left"/>
        <w:rPr>
          <w:rFonts w:hint="eastAsia" w:ascii="仿宋" w:hAnsi="仿宋" w:eastAsia="仿宋"/>
          <w:sz w:val="32"/>
          <w:szCs w:val="32"/>
        </w:rPr>
      </w:pPr>
      <w:r>
        <w:rPr>
          <w:rFonts w:hint="eastAsia" w:ascii="仿宋_GB2312" w:hAnsi="仿宋" w:eastAsia="仿宋_GB2312"/>
          <w:sz w:val="24"/>
        </w:rPr>
        <w:t>（本文书一式两份：一份由</w:t>
      </w:r>
      <w:r>
        <w:rPr>
          <w:rFonts w:hint="eastAsia" w:ascii="仿宋_GB2312" w:hAnsi="仿宋" w:eastAsia="仿宋_GB2312"/>
          <w:sz w:val="24"/>
          <w:lang w:val="en-US" w:eastAsia="zh-CN"/>
        </w:rPr>
        <w:t>县农业综合执法队</w:t>
      </w:r>
      <w:r>
        <w:rPr>
          <w:rFonts w:hint="eastAsia" w:ascii="仿宋_GB2312" w:hAnsi="仿宋" w:eastAsia="仿宋_GB2312"/>
          <w:sz w:val="24"/>
        </w:rPr>
        <w:t>备案，一份交案件承办科室。写不下可另附纸）</w:t>
      </w:r>
    </w:p>
    <w:sectPr>
      <w:footerReference r:id="rId3" w:type="default"/>
      <w:footerReference r:id="rId4"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5761" w:y="5"/>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- 4 -</w:t>
    </w:r>
    <w:r>
      <w:rPr>
        <w:rStyle w:val="9"/>
        <w:rFonts w:ascii="宋体" w:hAnsi="宋体"/>
        <w:sz w:val="28"/>
        <w:szCs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F16BA"/>
    <w:multiLevelType w:val="singleLevel"/>
    <w:tmpl w:val="49EF16BA"/>
    <w:lvl w:ilvl="0" w:tentative="0">
      <w:start w:val="2"/>
      <w:numFmt w:val="decimal"/>
      <w:lvlText w:val="%1."/>
      <w:lvlJc w:val="left"/>
      <w:pPr>
        <w:tabs>
          <w:tab w:val="left" w:pos="312"/>
        </w:tabs>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544D"/>
    <w:rsid w:val="00041D57"/>
    <w:rsid w:val="00042ACB"/>
    <w:rsid w:val="0005144E"/>
    <w:rsid w:val="00060DD2"/>
    <w:rsid w:val="000745A9"/>
    <w:rsid w:val="000A7592"/>
    <w:rsid w:val="001137F3"/>
    <w:rsid w:val="00126783"/>
    <w:rsid w:val="001431D6"/>
    <w:rsid w:val="001D7183"/>
    <w:rsid w:val="00221EA7"/>
    <w:rsid w:val="00223C2F"/>
    <w:rsid w:val="00224C23"/>
    <w:rsid w:val="002C5888"/>
    <w:rsid w:val="002F25F8"/>
    <w:rsid w:val="00323533"/>
    <w:rsid w:val="00383C50"/>
    <w:rsid w:val="003934C5"/>
    <w:rsid w:val="00394631"/>
    <w:rsid w:val="003A448E"/>
    <w:rsid w:val="003A4908"/>
    <w:rsid w:val="003D4C57"/>
    <w:rsid w:val="003E3E8B"/>
    <w:rsid w:val="004027B6"/>
    <w:rsid w:val="00411334"/>
    <w:rsid w:val="00424B40"/>
    <w:rsid w:val="00467BCA"/>
    <w:rsid w:val="00486B2F"/>
    <w:rsid w:val="004E032B"/>
    <w:rsid w:val="005160BB"/>
    <w:rsid w:val="00531548"/>
    <w:rsid w:val="00531C52"/>
    <w:rsid w:val="00533B0F"/>
    <w:rsid w:val="00545C34"/>
    <w:rsid w:val="00586E46"/>
    <w:rsid w:val="005A3D5B"/>
    <w:rsid w:val="005F5638"/>
    <w:rsid w:val="006E2C62"/>
    <w:rsid w:val="00736668"/>
    <w:rsid w:val="0077349A"/>
    <w:rsid w:val="007A2E4C"/>
    <w:rsid w:val="007C23F2"/>
    <w:rsid w:val="00855FBB"/>
    <w:rsid w:val="0088188B"/>
    <w:rsid w:val="008B071F"/>
    <w:rsid w:val="008C720B"/>
    <w:rsid w:val="008D68BC"/>
    <w:rsid w:val="008E3BD7"/>
    <w:rsid w:val="008F203D"/>
    <w:rsid w:val="008F72D2"/>
    <w:rsid w:val="00900C48"/>
    <w:rsid w:val="009229E8"/>
    <w:rsid w:val="00925E96"/>
    <w:rsid w:val="009642CC"/>
    <w:rsid w:val="00973F52"/>
    <w:rsid w:val="009B2D3A"/>
    <w:rsid w:val="00A1026C"/>
    <w:rsid w:val="00A50BD5"/>
    <w:rsid w:val="00A517F8"/>
    <w:rsid w:val="00A71EE0"/>
    <w:rsid w:val="00A774A8"/>
    <w:rsid w:val="00AA48BA"/>
    <w:rsid w:val="00AA4C37"/>
    <w:rsid w:val="00AF2273"/>
    <w:rsid w:val="00B03D5E"/>
    <w:rsid w:val="00B114CE"/>
    <w:rsid w:val="00B70660"/>
    <w:rsid w:val="00BA5656"/>
    <w:rsid w:val="00BD3C2F"/>
    <w:rsid w:val="00C366E5"/>
    <w:rsid w:val="00C54A32"/>
    <w:rsid w:val="00D10F4E"/>
    <w:rsid w:val="00D64A75"/>
    <w:rsid w:val="00D9544D"/>
    <w:rsid w:val="00E2238E"/>
    <w:rsid w:val="00E24A26"/>
    <w:rsid w:val="00E31875"/>
    <w:rsid w:val="00E41232"/>
    <w:rsid w:val="00E54D65"/>
    <w:rsid w:val="00EC4804"/>
    <w:rsid w:val="00EC7EC1"/>
    <w:rsid w:val="00EE2072"/>
    <w:rsid w:val="00EF40C2"/>
    <w:rsid w:val="00F653F8"/>
    <w:rsid w:val="00F96966"/>
    <w:rsid w:val="00FE064F"/>
    <w:rsid w:val="5AFF2253"/>
    <w:rsid w:val="783E09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qFormat/>
    <w:uiPriority w:val="99"/>
    <w:pPr>
      <w:ind w:left="100" w:leftChars="2500"/>
    </w:pPr>
  </w:style>
  <w:style w:type="paragraph" w:styleId="4">
    <w:name w:val="Balloon Text"/>
    <w:basedOn w:val="1"/>
    <w:link w:val="14"/>
    <w:semiHidden/>
    <w:uiPriority w:val="99"/>
    <w:rPr>
      <w:sz w:val="18"/>
      <w:szCs w:val="18"/>
    </w:r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99"/>
    <w:rPr>
      <w:rFonts w:cs="Times New Roman"/>
    </w:rPr>
  </w:style>
  <w:style w:type="character" w:customStyle="1" w:styleId="10">
    <w:name w:val="Heading 1 Char"/>
    <w:basedOn w:val="8"/>
    <w:link w:val="2"/>
    <w:locked/>
    <w:uiPriority w:val="99"/>
    <w:rPr>
      <w:rFonts w:cs="Times New Roman"/>
      <w:b/>
      <w:bCs/>
      <w:kern w:val="44"/>
      <w:sz w:val="44"/>
      <w:szCs w:val="44"/>
    </w:rPr>
  </w:style>
  <w:style w:type="character" w:customStyle="1" w:styleId="11">
    <w:name w:val="Header Char"/>
    <w:basedOn w:val="8"/>
    <w:link w:val="6"/>
    <w:locked/>
    <w:uiPriority w:val="99"/>
    <w:rPr>
      <w:rFonts w:cs="Times New Roman"/>
      <w:sz w:val="18"/>
      <w:szCs w:val="18"/>
    </w:rPr>
  </w:style>
  <w:style w:type="character" w:customStyle="1" w:styleId="12">
    <w:name w:val="Footer Char"/>
    <w:basedOn w:val="8"/>
    <w:link w:val="5"/>
    <w:locked/>
    <w:uiPriority w:val="99"/>
    <w:rPr>
      <w:rFonts w:cs="Times New Roman"/>
      <w:sz w:val="18"/>
      <w:szCs w:val="18"/>
    </w:rPr>
  </w:style>
  <w:style w:type="character" w:customStyle="1" w:styleId="13">
    <w:name w:val="Date Char"/>
    <w:basedOn w:val="8"/>
    <w:link w:val="3"/>
    <w:semiHidden/>
    <w:locked/>
    <w:uiPriority w:val="99"/>
    <w:rPr>
      <w:rFonts w:cs="Times New Roman"/>
    </w:rPr>
  </w:style>
  <w:style w:type="character" w:customStyle="1" w:styleId="14">
    <w:name w:val="Balloon Text Char"/>
    <w:basedOn w:val="8"/>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http://sdwm.org</Company>
  <Pages>8</Pages>
  <Words>423</Words>
  <Characters>2414</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2019-07-08T06:08:00Z</dcterms:created>
  <dc:creator>深度完美技术论坛</dc:creator>
  <cp:lastModifiedBy>农发局-马婷婷</cp:lastModifiedBy>
  <cp:lastPrinted>2020-09-22T06:06:43Z</cp:lastPrinted>
  <dcterms:modified xsi:type="dcterms:W3CDTF">2020-09-22T06:08:34Z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