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抚顺县农村公路路产赔(补)偿管理规定</w:t>
      </w:r>
    </w:p>
    <w:bookmarkEnd w:id="0"/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第一章 总则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第一条</w:t>
      </w:r>
      <w:r>
        <w:rPr>
          <w:rFonts w:hint="eastAsia" w:asciiTheme="minorEastAsia" w:hAnsiTheme="minorEastAsia"/>
          <w:sz w:val="30"/>
          <w:szCs w:val="30"/>
        </w:rPr>
        <w:t xml:space="preserve"> 为了规范农村公路路产赔(补)偿费管理工作，依法保护公路路产，保障公路完好畅通，根据国家、省有关法律、法规、规章，结合实际，制定本规定。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第二条</w:t>
      </w:r>
      <w:r>
        <w:rPr>
          <w:rFonts w:hint="eastAsia" w:asciiTheme="minorEastAsia" w:hAnsiTheme="minorEastAsia"/>
          <w:sz w:val="30"/>
          <w:szCs w:val="30"/>
        </w:rPr>
        <w:t xml:space="preserve"> 抚顺县交通运输综合行政执法队(以下简称交通执法队)对损坏、占利用农村公路路产的公民、法人及其他组织，依法收取公路路产赔(补)偿费，适用本规定。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第三条</w:t>
      </w:r>
      <w:r>
        <w:rPr>
          <w:rFonts w:hint="eastAsia" w:asciiTheme="minorEastAsia" w:hAnsiTheme="minorEastAsia"/>
          <w:sz w:val="30"/>
          <w:szCs w:val="30"/>
        </w:rPr>
        <w:t xml:space="preserve"> 农村公路路产赔(补)偿费收取标准，按照省物价、财政部门规定标准(以下简称规定标准)执行。对省物价、财政部门未规定标准的，由交通执法队按实际恢复路产成本核定。当事人对核定标准有争议的，交通执法队按当地物价部门认证后标准收取。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第二章 简易程序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第四条</w:t>
      </w:r>
      <w:r>
        <w:rPr>
          <w:rFonts w:hint="eastAsia" w:asciiTheme="minorEastAsia" w:hAnsiTheme="minorEastAsia"/>
          <w:sz w:val="30"/>
          <w:szCs w:val="30"/>
        </w:rPr>
        <w:t xml:space="preserve"> 按简易程序收取路产赔(补)偿费是指，交通执法队对路政人员(具备交通行政执法资格的人员，下同)在路政巡查或查实举报案件时发现的，损坏路产事实清楚，证据确凿充分，赔(补)偿费缴费额在1000元以下(含1000元)，且当事人无异议，当场作出路产赔(补)偿决定，收取路产赔(补)偿费的路产案件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第五条</w:t>
      </w:r>
      <w:r>
        <w:rPr>
          <w:rFonts w:hint="eastAsia" w:asciiTheme="minorEastAsia" w:hAnsiTheme="minorEastAsia"/>
          <w:sz w:val="30"/>
          <w:szCs w:val="30"/>
        </w:rPr>
        <w:t xml:space="preserve"> 按简易程序收路产取赔(补)偿费工作流程: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(一)外勤路政人员(以下简称外勤，不少于2人,下同)对损坏路产情况进行勘查，并拍照取证，填制《损坏路产项目勘查明细表》(附件1)。依据损坏路产事实及规定标准现场核定应缴路产赔(补)偿费额；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(二)外勤填制《公路赔(补)偿通知书》(附件2)，要求当事人签字后，将一联交当事人，留存另一联；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(三)外勤填制赔(补)偿费票据，收款后，留存票据存根联、财务联，将票据报销联交当事人。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第六条</w:t>
      </w:r>
      <w:r>
        <w:rPr>
          <w:rFonts w:hint="eastAsia" w:asciiTheme="minorEastAsia" w:hAnsiTheme="minorEastAsia"/>
          <w:sz w:val="30"/>
          <w:szCs w:val="30"/>
        </w:rPr>
        <w:t xml:space="preserve"> 外勤应在收费后24小时内，按赔(补)偿费科目填制《收入日报》，将赔(补)偿费票据的财务联、存根联及费款一并上报财务。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第七条</w:t>
      </w:r>
      <w:r>
        <w:rPr>
          <w:rFonts w:hint="eastAsia" w:asciiTheme="minorEastAsia" w:hAnsiTheme="minorEastAsia"/>
          <w:sz w:val="30"/>
          <w:szCs w:val="30"/>
        </w:rPr>
        <w:t xml:space="preserve"> 外勤应在收费后24小时内登记《路政案件登记台账》，将结案材料移交内业路政人员(以下简称内业)。内业审核无误后，在《路政案件登记台账》签字确认，内业负责建立简易程序路政案件档案。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第三章 一般程序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第八条</w:t>
      </w:r>
      <w:r>
        <w:rPr>
          <w:rFonts w:hint="eastAsia" w:asciiTheme="minorEastAsia" w:hAnsiTheme="minorEastAsia"/>
          <w:sz w:val="30"/>
          <w:szCs w:val="30"/>
        </w:rPr>
        <w:t xml:space="preserve"> 按一般程序收取路产赔(补)偿费是指，交通执法队对在巡查或举报查实中发现的损坏路产案件，不能按简易程序收取路产赔(补)偿费的路产案件。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第九条</w:t>
      </w:r>
      <w:r>
        <w:rPr>
          <w:rFonts w:hint="eastAsia" w:asciiTheme="minorEastAsia" w:hAnsiTheme="minorEastAsia"/>
          <w:sz w:val="30"/>
          <w:szCs w:val="30"/>
        </w:rPr>
        <w:t xml:space="preserve"> 按一般程序收取路产赔(补)偿费工作流程: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(一)外勤在巡查或查实举报时发现损坏路产案件；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(二)对举报受理、上级批转的案件，内业需按规定填制《立案审批表》，报负责人审批后，由外勤人员负责案件调查；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(三)案件调查: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1、外勤(不少于2人)对损坏路产情况进行拍照、勘查取证，填制《勘验(检查)笔录》，填制《损坏路产项目勘查明细表》，依据调查事实和规定标准，核定应缴赔(补)偿费金额；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2、外勤(不少于2人)对当事人做询问调查，并制作《询问笔录》，要求当事人签字确认。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(四)外勤在发现案件24小时内，将发现案件登记《路产案件登记台账》，交内业审核，并签字确认；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(五)对无路产赔(补)偿费规定标准的项目，外勤按本规定第三条规定拟定意见，经负责人审核确定后，填制《损坏路产项目勘查明细表》，核定应缴路产赔(补)偿费金额；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(六)听取当事人陈述、申辩：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1、交通执法队做出路产赔(补)偿决定前，外勤应将认定的损坏公路路产事实、赔(补)偿的理由、依据和金额告知当事人。并告知当事人享有陈述、申辩的权利；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2、当事人提出陈述、申辩的，外勤(不少于2人)负责对当事人陈述、申辩意见做笔录。对当事人对提出陈述和申辩的事实、理由不成立的，告知不予采纳;对当事人提出陈述和申辩的事实、理由成立的，予以采纳；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3、当事人放弃陈述、申辩权利的，外勤应在询问笔录中予以记录。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(七)送达文书：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、案件调查完毕，外勤认为损坏、占利用路产事实清楚，主要证据齐全，路产赔(补)偿费金额正确的，制作《案件处理意见书》，提出处理意见，报负责人审批。经负责人批准后，内业制作《公路赔(补)偿通知书》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2、外勤在送达《公路赔(补)偿通知书》时，要当场告知当事人在接到通知书之日起15日内缴纳路产赔(补)偿费，并要求当事人在《送达回证》上签字；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(八)收取赔(补)偿费：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1、对当事人收到《公路赔(补)偿通知书》后到交通执法队缴费的，财务人员填写路产赔(补)偿费票据，按票收款后，留存票据存根联、财务联，将票据报销联交当事人；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、内业将收费票据复印件交外勤进行结案处理。外勤在收到收费票据复印件24小时内登记《路产案件登记台账》，填制《结案报告》提出处理意见，并将结案材料移交内业。内业审核无误后，将《结案报告》报负责人审批结案。内业负责建立路政案件档案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第十条</w:t>
      </w:r>
      <w:r>
        <w:rPr>
          <w:rFonts w:hint="eastAsia" w:asciiTheme="minorEastAsia" w:hAnsiTheme="minorEastAsia"/>
          <w:sz w:val="30"/>
          <w:szCs w:val="30"/>
        </w:rPr>
        <w:t xml:space="preserve"> 对当事人收到通知书未在规定期限缴纳赔(补)偿费，且外勤追缴仍未缴纳的，请示负责人同意后，将案件调查材料移交内业。交通执法队按申请人民法院强制执行程序办理。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第十一条</w:t>
      </w:r>
      <w:r>
        <w:rPr>
          <w:rFonts w:hint="eastAsia" w:asciiTheme="minorEastAsia" w:hAnsiTheme="minorEastAsia"/>
          <w:sz w:val="30"/>
          <w:szCs w:val="30"/>
        </w:rPr>
        <w:t xml:space="preserve"> 经人民法院强制执行，当事人缴纳赔(补)偿费的，按本规定第九条规定办理结案，内业需将强制执行材料一并装入路政案件档案。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第十二条</w:t>
      </w:r>
      <w:r>
        <w:rPr>
          <w:rFonts w:hint="eastAsia" w:asciiTheme="minorEastAsia" w:hAnsiTheme="minorEastAsia"/>
          <w:sz w:val="30"/>
          <w:szCs w:val="30"/>
        </w:rPr>
        <w:t xml:space="preserve"> 对当事人收到通知书60日内提出复核申请的，交通执法队在收到复核申请之日起15日内提出复核意见，经负责人批准，加盖单位印章后送达当事人。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第四章 附 则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第十三条</w:t>
      </w:r>
      <w:r>
        <w:rPr>
          <w:rFonts w:hint="eastAsia" w:asciiTheme="minorEastAsia" w:hAnsiTheme="minorEastAsia"/>
          <w:sz w:val="30"/>
          <w:szCs w:val="30"/>
        </w:rPr>
        <w:t xml:space="preserve"> 交通执法队对准予许可事项涉及占、利用或损坏路产的，应按规定收取路产赔(补)偿费。具体按《辽宁省农村公路路产赔(补)偿管理规定》办理。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第十四条</w:t>
      </w:r>
      <w:r>
        <w:rPr>
          <w:rFonts w:hint="eastAsia" w:asciiTheme="minorEastAsia" w:hAnsiTheme="minorEastAsia"/>
          <w:sz w:val="30"/>
          <w:szCs w:val="30"/>
        </w:rPr>
        <w:t xml:space="preserve"> 本规定由抚顺县交通运输局负责解释。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第十五条</w:t>
      </w:r>
      <w:r>
        <w:rPr>
          <w:rFonts w:hint="eastAsia" w:asciiTheme="minorEastAsia" w:hAnsiTheme="minorEastAsia"/>
          <w:sz w:val="30"/>
          <w:szCs w:val="30"/>
        </w:rPr>
        <w:t xml:space="preserve"> 本规定自下发之日起施行。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附件:1、损坏路产项目勘查明细表</w:t>
      </w:r>
    </w:p>
    <w:p>
      <w:pPr>
        <w:ind w:firstLine="1350" w:firstLineChars="4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2、公路赔(补)偿通知书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附件1：</w:t>
      </w:r>
    </w:p>
    <w:p>
      <w:pPr>
        <w:ind w:firstLine="2160" w:firstLineChars="600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损坏路产项目勘查明细表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28"/>
          <w:szCs w:val="28"/>
          <w:u w:val="single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勘查事项：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勘查地点：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                                       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勘察时间：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u w:val="single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180"/>
        <w:gridCol w:w="1091"/>
        <w:gridCol w:w="938"/>
        <w:gridCol w:w="1795"/>
        <w:gridCol w:w="14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689" w:type="dxa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2180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项  目    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left" w:pos="3480"/>
              </w:tabs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3480"/>
              </w:tabs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收费标准</w:t>
            </w:r>
          </w:p>
        </w:tc>
        <w:tc>
          <w:tcPr>
            <w:tcW w:w="1485" w:type="dxa"/>
            <w:vAlign w:val="center"/>
          </w:tcPr>
          <w:p>
            <w:pPr>
              <w:tabs>
                <w:tab w:val="left" w:pos="3480"/>
              </w:tabs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  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勘查人：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公路赔(补)偿通知书</w:t>
      </w:r>
    </w:p>
    <w:p>
      <w:pPr>
        <w:wordWrap w:val="0"/>
        <w:spacing w:line="360" w:lineRule="auto"/>
        <w:jc w:val="right"/>
        <w:rPr>
          <w:rFonts w:ascii="宋体" w:hAnsi="宋体"/>
          <w:color w:val="000000"/>
          <w:sz w:val="24"/>
        </w:rPr>
      </w:pPr>
      <w:r>
        <w:rPr>
          <w:rFonts w:hint="eastAsia" w:eastAsia="华文仿宋"/>
          <w:color w:val="000000"/>
          <w:sz w:val="24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辽农路</w:t>
      </w:r>
      <w:r>
        <w:rPr>
          <w:rFonts w:hint="eastAsia" w:ascii="宋体" w:hAnsi="宋体"/>
          <w:color w:val="000000"/>
          <w:sz w:val="24"/>
          <w:u w:val="single"/>
        </w:rPr>
        <w:t xml:space="preserve">  抚抚  </w:t>
      </w:r>
      <w:r>
        <w:rPr>
          <w:rFonts w:hint="eastAsia" w:ascii="宋体" w:hAnsi="宋体"/>
          <w:color w:val="000000"/>
          <w:sz w:val="24"/>
        </w:rPr>
        <w:t>赔（    ）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82"/>
        <w:gridCol w:w="720"/>
        <w:gridCol w:w="1659"/>
        <w:gridCol w:w="702"/>
        <w:gridCol w:w="704"/>
        <w:gridCol w:w="702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当事人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  民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59" w:type="dxa"/>
            <w:tcBorders>
              <w:bottom w:val="single" w:color="auto" w:sz="4" w:space="0"/>
              <w:tl2br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720" w:type="dxa"/>
            <w:tcBorders>
              <w:tl2br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住址</w:t>
            </w:r>
          </w:p>
        </w:tc>
        <w:tc>
          <w:tcPr>
            <w:tcW w:w="3065" w:type="dxa"/>
            <w:gridSpan w:val="3"/>
            <w:tcBorders>
              <w:tl2br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</w:t>
            </w:r>
          </w:p>
        </w:tc>
        <w:tc>
          <w:tcPr>
            <w:tcW w:w="2720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新魏" w:hAnsi="宋体" w:eastAsia="华文新魏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新魏" w:hAnsi="宋体" w:eastAsia="华文新魏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法人或者其他组织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2361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法定代表人</w:t>
            </w:r>
          </w:p>
        </w:tc>
        <w:tc>
          <w:tcPr>
            <w:tcW w:w="2720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6487" w:type="dxa"/>
            <w:gridSpan w:val="5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ind w:left="105" w:leftChars="50" w:firstLine="360" w:firstLineChars="1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违法（规）事实及证据：</w:t>
      </w:r>
      <w:r>
        <w:rPr>
          <w:rFonts w:hint="eastAsia" w:ascii="宋体" w:hAnsi="宋体"/>
          <w:color w:val="000000"/>
          <w:sz w:val="24"/>
          <w:u w:val="single"/>
        </w:rPr>
        <w:t xml:space="preserve"> 你（单位）于    年   月   日  时  分，在        线</w:t>
      </w:r>
    </w:p>
    <w:p>
      <w:pPr>
        <w:spacing w:line="360" w:lineRule="auto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u w:val="single"/>
        </w:rPr>
        <w:t>米处</w:t>
      </w:r>
      <w:r>
        <w:rPr>
          <w:rFonts w:hint="eastAsia" w:ascii="宋体" w:hAnsi="宋体"/>
          <w:sz w:val="24"/>
          <w:u w:val="single"/>
        </w:rPr>
        <w:t xml:space="preserve">出现损坏公路附属设施可能危及公路安全行为，经勘查损坏路产情况：          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</w:t>
      </w:r>
    </w:p>
    <w:p>
      <w:pPr>
        <w:spacing w:line="360" w:lineRule="auto"/>
        <w:ind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以上事实违反了</w:t>
      </w:r>
      <w:r>
        <w:rPr>
          <w:rFonts w:hint="eastAsia" w:ascii="华文新魏" w:hAnsi="宋体" w:eastAsia="华文新魏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4"/>
          <w:u w:val="single"/>
        </w:rPr>
        <w:t>《中华人民共和国公路法》 第             条</w:t>
      </w:r>
      <w:r>
        <w:rPr>
          <w:rFonts w:hint="eastAsia" w:ascii="宋体" w:hAnsi="宋体"/>
          <w:color w:val="000000"/>
          <w:sz w:val="24"/>
        </w:rPr>
        <w:t xml:space="preserve">的规定，依据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>《中华人民共和国公路法》第八十五条第一款，辽交财审发 [2017]564号文件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的规定，做出以下处理决定：</w:t>
      </w:r>
    </w:p>
    <w:p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当事人赔（补）偿路产损失人民币金额：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</w:t>
      </w:r>
      <w:r>
        <w:rPr>
          <w:rFonts w:hint="eastAsia" w:ascii="宋体" w:hAnsi="宋体"/>
          <w:color w:val="000000"/>
          <w:sz w:val="24"/>
        </w:rPr>
        <w:t>元。</w:t>
      </w:r>
    </w:p>
    <w:p>
      <w:pPr>
        <w:spacing w:line="360" w:lineRule="auto"/>
        <w:ind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（大写）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当事人自收到本通知书之日起15日内将赔（补）偿费缴至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抚顺县税务局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，到期不缴的，本单位将依法申请人民法院强制执行或者依照有关规定强制执行。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如果不服本处理决定，当事人可以依法在60日内向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u w:val="single"/>
        </w:rPr>
        <w:t>抚顺县人民政府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申请复核，或者依法向人民法院提起诉讼。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交通行政执法机关（印章）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           年    月    日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当事人签字：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华文隶书" w:hAnsi="宋体" w:eastAsia="华文隶书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（本文书一式两份：一份存根，一份交当事人或其代理人）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C"/>
    <w:rsid w:val="003D538F"/>
    <w:rsid w:val="003F2450"/>
    <w:rsid w:val="0059067C"/>
    <w:rsid w:val="005F15B4"/>
    <w:rsid w:val="00817D35"/>
    <w:rsid w:val="00CF5773"/>
    <w:rsid w:val="00FB163B"/>
    <w:rsid w:val="25667945"/>
    <w:rsid w:val="405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555</Words>
  <Characters>3169</Characters>
  <Lines>26</Lines>
  <Paragraphs>7</Paragraphs>
  <TotalTime>6</TotalTime>
  <ScaleCrop>false</ScaleCrop>
  <LinksUpToDate>false</LinksUpToDate>
  <CharactersWithSpaces>3717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2021-11-30T08:19:00Z</dcterms:created>
  <dc:creator>Administrator</dc:creator>
  <cp:lastModifiedBy>WPS_1458524506</cp:lastModifiedBy>
  <cp:lastPrinted>2021-11-30T08:18:00Z</cp:lastPrinted>
  <dcterms:modified xsi:type="dcterms:W3CDTF">2021-12-03T00:48:23Z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F03153F0F6874BEABF7A5B478935FD69</vt:lpwstr>
  </property>
</Properties>
</file>