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rPr>
          <w:rFonts w:ascii="仿宋" w:hAnsi="仿宋" w:eastAsia="仿宋"/>
          <w:color w:val="000000" w:themeColor="text1"/>
          <w:sz w:val="28"/>
          <w:szCs w:val="28"/>
          <w14:textFill>
            <w14:solidFill>
              <w14:schemeClr w14:val="tx1"/>
            </w14:solidFill>
          </w14:textFill>
        </w:rPr>
      </w:pPr>
      <w:bookmarkStart w:id="0" w:name="_Toc418699524"/>
      <w:bookmarkStart w:id="73" w:name="_GoBack"/>
      <w:bookmarkEnd w:id="73"/>
    </w:p>
    <w:p>
      <w:pPr>
        <w:tabs>
          <w:tab w:val="left" w:pos="3240"/>
        </w:tabs>
        <w:adjustRightInd w:val="0"/>
        <w:snapToGrid w:val="0"/>
        <w:spacing w:line="360" w:lineRule="auto"/>
        <w:rPr>
          <w:rFonts w:ascii="仿宋" w:hAnsi="仿宋" w:eastAsia="仿宋"/>
          <w:b/>
          <w:color w:val="000000" w:themeColor="text1"/>
          <w:sz w:val="28"/>
          <w:szCs w:val="28"/>
          <w14:textFill>
            <w14:solidFill>
              <w14:schemeClr w14:val="tx1"/>
            </w14:solidFill>
          </w14:textFill>
        </w:rPr>
      </w:pPr>
    </w:p>
    <w:p>
      <w:pPr>
        <w:tabs>
          <w:tab w:val="left" w:pos="3240"/>
        </w:tabs>
        <w:adjustRightInd w:val="0"/>
        <w:snapToGrid w:val="0"/>
        <w:spacing w:line="360" w:lineRule="auto"/>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抚顺县国民经济和社会</w:t>
      </w:r>
    </w:p>
    <w:p>
      <w:pPr>
        <w:tabs>
          <w:tab w:val="left" w:pos="3240"/>
        </w:tabs>
        <w:adjustRightInd w:val="0"/>
        <w:snapToGrid w:val="0"/>
        <w:spacing w:line="360" w:lineRule="auto"/>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发展</w:t>
      </w:r>
      <w:r>
        <w:rPr>
          <w:rFonts w:ascii="仿宋" w:hAnsi="仿宋" w:eastAsia="仿宋"/>
          <w:b/>
          <w:color w:val="000000" w:themeColor="text1"/>
          <w:sz w:val="44"/>
          <w:szCs w:val="44"/>
          <w14:textFill>
            <w14:solidFill>
              <w14:schemeClr w14:val="tx1"/>
            </w14:solidFill>
          </w14:textFill>
        </w:rPr>
        <w:t>第十</w:t>
      </w:r>
      <w:r>
        <w:rPr>
          <w:rFonts w:hint="eastAsia" w:ascii="仿宋" w:hAnsi="仿宋" w:eastAsia="仿宋"/>
          <w:b/>
          <w:color w:val="000000" w:themeColor="text1"/>
          <w:sz w:val="44"/>
          <w:szCs w:val="44"/>
          <w14:textFill>
            <w14:solidFill>
              <w14:schemeClr w14:val="tx1"/>
            </w14:solidFill>
          </w14:textFill>
        </w:rPr>
        <w:t>四</w:t>
      </w:r>
      <w:r>
        <w:rPr>
          <w:rFonts w:ascii="仿宋" w:hAnsi="仿宋" w:eastAsia="仿宋"/>
          <w:b/>
          <w:color w:val="000000" w:themeColor="text1"/>
          <w:sz w:val="44"/>
          <w:szCs w:val="44"/>
          <w14:textFill>
            <w14:solidFill>
              <w14:schemeClr w14:val="tx1"/>
            </w14:solidFill>
          </w14:textFill>
        </w:rPr>
        <w:t>个五年规划纲要</w:t>
      </w:r>
    </w:p>
    <w:bookmarkEnd w:id="0"/>
    <w:p>
      <w:pPr>
        <w:widowControl/>
        <w:adjustRightInd w:val="0"/>
        <w:snapToGrid w:val="0"/>
        <w:spacing w:line="360" w:lineRule="auto"/>
        <w:jc w:val="center"/>
        <w:rPr>
          <w:rFonts w:ascii="宋体" w:hAnsi="宋体" w:cs="宋体"/>
          <w:b/>
          <w:color w:val="000000" w:themeColor="text1"/>
          <w:sz w:val="30"/>
          <w:szCs w:val="30"/>
          <w14:textFill>
            <w14:solidFill>
              <w14:schemeClr w14:val="tx1"/>
            </w14:solidFill>
          </w14:textFill>
        </w:rPr>
      </w:pPr>
      <w:r>
        <w:rPr>
          <w:rFonts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14:textFill>
            <w14:solidFill>
              <w14:schemeClr w14:val="tx1"/>
            </w14:solidFill>
          </w14:textFill>
        </w:rPr>
        <w:t>征求意见稿</w:t>
      </w:r>
      <w:r>
        <w:rPr>
          <w:rFonts w:ascii="宋体" w:hAnsi="宋体" w:cs="宋体"/>
          <w:b/>
          <w:color w:val="000000" w:themeColor="text1"/>
          <w:sz w:val="30"/>
          <w:szCs w:val="30"/>
          <w14:textFill>
            <w14:solidFill>
              <w14:schemeClr w14:val="tx1"/>
            </w14:solidFill>
          </w14:textFill>
        </w:rPr>
        <w:t>）</w:t>
      </w:r>
    </w:p>
    <w:p>
      <w:pPr>
        <w:spacing w:line="360" w:lineRule="auto"/>
        <w:jc w:val="center"/>
        <w:rPr>
          <w:rFonts w:ascii="仿宋" w:hAnsi="仿宋" w:eastAsia="仿宋"/>
          <w:b/>
          <w:color w:val="000000" w:themeColor="text1"/>
          <w:sz w:val="28"/>
          <w:szCs w:val="28"/>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p>
    <w:p>
      <w:pPr>
        <w:spacing w:line="360" w:lineRule="auto"/>
        <w:ind w:firstLine="420"/>
        <w:jc w:val="center"/>
        <w:rPr>
          <w:rFonts w:ascii="仿宋" w:hAnsi="仿宋" w:eastAsia="仿宋"/>
          <w:color w:val="000000" w:themeColor="text1"/>
          <w:sz w:val="28"/>
          <w:szCs w:val="28"/>
          <w14:textFill>
            <w14:solidFill>
              <w14:schemeClr w14:val="tx1"/>
            </w14:solidFill>
          </w14:textFill>
        </w:rPr>
      </w:pPr>
    </w:p>
    <w:p>
      <w:pPr>
        <w:spacing w:line="360" w:lineRule="auto"/>
        <w:ind w:firstLine="420"/>
        <w:jc w:val="center"/>
        <w:rPr>
          <w:rFonts w:ascii="仿宋" w:hAnsi="仿宋" w:eastAsia="仿宋"/>
          <w:color w:val="000000" w:themeColor="text1"/>
          <w:sz w:val="28"/>
          <w:szCs w:val="28"/>
          <w14:textFill>
            <w14:solidFill>
              <w14:schemeClr w14:val="tx1"/>
            </w14:solidFill>
          </w14:textFill>
        </w:rPr>
      </w:pPr>
    </w:p>
    <w:p>
      <w:pPr>
        <w:spacing w:line="360" w:lineRule="auto"/>
        <w:ind w:firstLine="420"/>
        <w:jc w:val="center"/>
        <w:rPr>
          <w:rFonts w:ascii="仿宋" w:hAnsi="仿宋" w:eastAsia="仿宋"/>
          <w:color w:val="000000" w:themeColor="text1"/>
          <w:sz w:val="28"/>
          <w:szCs w:val="28"/>
          <w14:textFill>
            <w14:solidFill>
              <w14:schemeClr w14:val="tx1"/>
            </w14:solidFill>
          </w14:textFill>
        </w:rPr>
      </w:pPr>
    </w:p>
    <w:p>
      <w:pPr>
        <w:spacing w:line="360" w:lineRule="auto"/>
        <w:ind w:firstLine="420"/>
        <w:jc w:val="center"/>
        <w:rPr>
          <w:rFonts w:ascii="仿宋" w:hAnsi="仿宋" w:eastAsia="仿宋"/>
          <w:color w:val="000000" w:themeColor="text1"/>
          <w:sz w:val="28"/>
          <w:szCs w:val="28"/>
          <w14:textFill>
            <w14:solidFill>
              <w14:schemeClr w14:val="tx1"/>
            </w14:solidFill>
          </w14:textFill>
        </w:rPr>
      </w:pPr>
    </w:p>
    <w:p>
      <w:pPr>
        <w:spacing w:line="360" w:lineRule="auto"/>
        <w:ind w:firstLine="420"/>
        <w:jc w:val="center"/>
        <w:rPr>
          <w:rFonts w:ascii="仿宋" w:hAnsi="仿宋" w:eastAsia="仿宋"/>
          <w:color w:val="000000" w:themeColor="text1"/>
          <w:sz w:val="28"/>
          <w:szCs w:val="28"/>
          <w14:textFill>
            <w14:solidFill>
              <w14:schemeClr w14:val="tx1"/>
            </w14:solidFill>
          </w14:textFill>
        </w:rPr>
      </w:pPr>
    </w:p>
    <w:p>
      <w:pPr>
        <w:spacing w:line="360" w:lineRule="auto"/>
        <w:ind w:firstLine="420"/>
        <w:jc w:val="center"/>
        <w:rPr>
          <w:rFonts w:ascii="仿宋" w:hAnsi="仿宋" w:eastAsia="仿宋"/>
          <w:color w:val="000000" w:themeColor="text1"/>
          <w:sz w:val="28"/>
          <w:szCs w:val="28"/>
          <w14:textFill>
            <w14:solidFill>
              <w14:schemeClr w14:val="tx1"/>
            </w14:solidFill>
          </w14:textFill>
        </w:rPr>
      </w:pPr>
    </w:p>
    <w:p>
      <w:pPr>
        <w:spacing w:line="360" w:lineRule="auto"/>
        <w:ind w:firstLine="420"/>
        <w:rPr>
          <w:rFonts w:ascii="仿宋" w:hAnsi="仿宋" w:eastAsia="仿宋"/>
          <w:color w:val="000000" w:themeColor="text1"/>
          <w:sz w:val="28"/>
          <w:szCs w:val="28"/>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bookmarkStart w:id="1" w:name="_Toc432622960"/>
      <w:r>
        <w:rPr>
          <w:rFonts w:hint="eastAsia" w:ascii="仿宋" w:hAnsi="仿宋" w:eastAsia="仿宋"/>
          <w:color w:val="000000" w:themeColor="text1"/>
          <w:sz w:val="32"/>
          <w:szCs w:val="32"/>
          <w14:textFill>
            <w14:solidFill>
              <w14:schemeClr w14:val="tx1"/>
            </w14:solidFill>
          </w14:textFill>
        </w:rPr>
        <w:t>抚顺县人民政府</w:t>
      </w:r>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tabs>
          <w:tab w:val="center" w:pos="4153"/>
          <w:tab w:val="left" w:pos="5112"/>
        </w:tabs>
        <w:spacing w:line="360" w:lineRule="auto"/>
        <w:jc w:val="left"/>
        <w:outlineLvl w:val="9"/>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32"/>
          <w14:textFill>
            <w14:solidFill>
              <w14:schemeClr w14:val="tx1"/>
            </w14:solidFill>
          </w14:textFill>
        </w:rPr>
        <w:tab/>
      </w:r>
      <w:r>
        <w:rPr>
          <w:rFonts w:hint="eastAsia" w:ascii="黑体" w:hAnsi="黑体" w:eastAsia="黑体"/>
          <w:color w:val="000000" w:themeColor="text1"/>
          <w:sz w:val="32"/>
          <w14:textFill>
            <w14:solidFill>
              <w14:schemeClr w14:val="tx1"/>
            </w14:solidFill>
          </w14:textFill>
        </w:rPr>
        <w:t xml:space="preserve">目 </w:t>
      </w:r>
      <w:r>
        <w:rPr>
          <w:rFonts w:ascii="黑体" w:hAnsi="黑体" w:eastAsia="黑体"/>
          <w:color w:val="000000" w:themeColor="text1"/>
          <w:sz w:val="32"/>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录</w:t>
      </w:r>
      <w:r>
        <w:rPr>
          <w:rFonts w:ascii="黑体" w:hAnsi="黑体" w:eastAsia="黑体"/>
          <w:color w:val="000000" w:themeColor="text1"/>
          <w:sz w:val="24"/>
          <w:szCs w:val="24"/>
          <w14:textFill>
            <w14:solidFill>
              <w14:schemeClr w14:val="tx1"/>
            </w14:solidFill>
          </w14:textFill>
        </w:rPr>
        <w:fldChar w:fldCharType="begin"/>
      </w:r>
      <w:r>
        <w:rPr>
          <w:rFonts w:ascii="黑体" w:hAnsi="黑体" w:eastAsia="黑体"/>
          <w:color w:val="000000" w:themeColor="text1"/>
          <w:sz w:val="24"/>
          <w:szCs w:val="24"/>
          <w14:textFill>
            <w14:solidFill>
              <w14:schemeClr w14:val="tx1"/>
            </w14:solidFill>
          </w14:textFill>
        </w:rPr>
        <w:instrText xml:space="preserve"> TOC \o "1-3" \h \z \u </w:instrText>
      </w:r>
      <w:r>
        <w:rPr>
          <w:rFonts w:ascii="黑体" w:hAnsi="黑体" w:eastAsia="黑体"/>
          <w:color w:val="000000" w:themeColor="text1"/>
          <w:sz w:val="24"/>
          <w:szCs w:val="24"/>
          <w14:textFill>
            <w14:solidFill>
              <w14:schemeClr w14:val="tx1"/>
            </w14:solidFill>
          </w14:textFill>
        </w:rPr>
        <w:fldChar w:fldCharType="separate"/>
      </w:r>
      <w:r>
        <w:rPr>
          <w:rFonts w:ascii="黑体" w:hAnsi="黑体" w:eastAsia="黑体"/>
          <w:color w:val="000000" w:themeColor="text1"/>
          <w:sz w:val="24"/>
          <w:szCs w:val="24"/>
          <w14:textFill>
            <w14:solidFill>
              <w14:schemeClr w14:val="tx1"/>
            </w14:solidFill>
          </w14:textFill>
        </w:rPr>
        <w:tab/>
      </w:r>
    </w:p>
    <w:p>
      <w:pPr>
        <w:pStyle w:val="15"/>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"_Toc53698352" </w:instrText>
      </w:r>
      <w:r>
        <w:fldChar w:fldCharType="separate"/>
      </w:r>
      <w:r>
        <w:rPr>
          <w:rStyle w:val="27"/>
          <w:rFonts w:ascii="仿宋" w:hAnsi="仿宋" w:eastAsia="仿宋"/>
          <w:color w:val="000000" w:themeColor="text1"/>
          <w:sz w:val="24"/>
          <w14:textFill>
            <w14:solidFill>
              <w14:schemeClr w14:val="tx1"/>
            </w14:solidFill>
          </w14:textFill>
        </w:rPr>
        <w:t>抚顺县国民经济和社会发展第十四个五年规划纲要</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5"/>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"_Toc53698353" </w:instrText>
      </w:r>
      <w:r>
        <w:fldChar w:fldCharType="separate"/>
      </w:r>
      <w:r>
        <w:rPr>
          <w:rStyle w:val="27"/>
          <w:rFonts w:ascii="仿宋" w:hAnsi="仿宋" w:eastAsia="仿宋"/>
          <w:b/>
          <w:color w:val="000000" w:themeColor="text1"/>
          <w:sz w:val="24"/>
          <w14:textFill>
            <w14:solidFill>
              <w14:schemeClr w14:val="tx1"/>
            </w14:solidFill>
          </w14:textFill>
        </w:rPr>
        <w:t>第一章 发展基础与发展环境</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"_Toc53698354" </w:instrText>
      </w:r>
      <w:r>
        <w:fldChar w:fldCharType="separate"/>
      </w:r>
      <w:r>
        <w:rPr>
          <w:rStyle w:val="27"/>
          <w:rFonts w:ascii="仿宋" w:hAnsi="仿宋" w:eastAsia="仿宋"/>
          <w:color w:val="000000" w:themeColor="text1"/>
          <w:sz w:val="24"/>
          <w14:textFill>
            <w14:solidFill>
              <w14:schemeClr w14:val="tx1"/>
            </w14:solidFill>
          </w14:textFill>
        </w:rPr>
        <w:t>第一节  “十三五”时期发展成就</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"_Toc53698355" </w:instrText>
      </w:r>
      <w:r>
        <w:fldChar w:fldCharType="separate"/>
      </w:r>
      <w:r>
        <w:rPr>
          <w:rStyle w:val="27"/>
          <w:rFonts w:ascii="仿宋" w:hAnsi="仿宋" w:eastAsia="仿宋"/>
          <w:color w:val="000000" w:themeColor="text1"/>
          <w:sz w:val="24"/>
          <w14:textFill>
            <w14:solidFill>
              <w14:schemeClr w14:val="tx1"/>
            </w14:solidFill>
          </w14:textFill>
        </w:rPr>
        <w:t>第二节  “十三五”规划纲要指标完成情况</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13</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"_Toc53698356" </w:instrText>
      </w:r>
      <w:r>
        <w:fldChar w:fldCharType="separate"/>
      </w:r>
      <w:r>
        <w:rPr>
          <w:rStyle w:val="27"/>
          <w:rFonts w:ascii="仿宋" w:hAnsi="仿宋" w:eastAsia="仿宋"/>
          <w:color w:val="000000" w:themeColor="text1"/>
          <w:sz w:val="24"/>
          <w14:textFill>
            <w14:solidFill>
              <w14:schemeClr w14:val="tx1"/>
            </w14:solidFill>
          </w14:textFill>
        </w:rPr>
        <w:t>第三节  “十四五”时期国民经济发展环境</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16</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"_Toc53698357" </w:instrText>
      </w:r>
      <w:r>
        <w:fldChar w:fldCharType="separate"/>
      </w:r>
      <w:r>
        <w:rPr>
          <w:rStyle w:val="27"/>
          <w:rFonts w:ascii="仿宋" w:hAnsi="仿宋" w:eastAsia="仿宋"/>
          <w:color w:val="000000" w:themeColor="text1"/>
          <w:sz w:val="24"/>
          <w14:textFill>
            <w14:solidFill>
              <w14:schemeClr w14:val="tx1"/>
            </w14:solidFill>
          </w14:textFill>
        </w:rPr>
        <w:t>第四节  “十四五”时期的挑战与机遇</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5"/>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"_Toc53698358" </w:instrText>
      </w:r>
      <w:r>
        <w:fldChar w:fldCharType="separate"/>
      </w:r>
      <w:r>
        <w:rPr>
          <w:rStyle w:val="27"/>
          <w:rFonts w:ascii="仿宋" w:hAnsi="仿宋" w:eastAsia="仿宋"/>
          <w:b/>
          <w:color w:val="000000" w:themeColor="text1"/>
          <w:sz w:val="24"/>
          <w14:textFill>
            <w14:solidFill>
              <w14:schemeClr w14:val="tx1"/>
            </w14:solidFill>
          </w14:textFill>
        </w:rPr>
        <w:t>第二章 “十四五”规划总体要求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"_Toc53698359" </w:instrText>
      </w:r>
      <w:r>
        <w:fldChar w:fldCharType="separate"/>
      </w:r>
      <w:r>
        <w:rPr>
          <w:rStyle w:val="27"/>
          <w:rFonts w:ascii="仿宋" w:hAnsi="仿宋" w:eastAsia="仿宋"/>
          <w:color w:val="000000" w:themeColor="text1"/>
          <w:sz w:val="24"/>
          <w14:textFill>
            <w14:solidFill>
              <w14:schemeClr w14:val="tx1"/>
            </w14:solidFill>
          </w14:textFill>
        </w:rPr>
        <w:t>第一节  “十四五”规划指导思想</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_Toc53698359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"_Toc53698360" </w:instrText>
      </w:r>
      <w:r>
        <w:fldChar w:fldCharType="separate"/>
      </w:r>
      <w:r>
        <w:rPr>
          <w:rStyle w:val="27"/>
          <w:rFonts w:ascii="仿宋" w:hAnsi="仿宋" w:eastAsia="仿宋"/>
          <w:color w:val="000000" w:themeColor="text1"/>
          <w:sz w:val="24"/>
          <w14:textFill>
            <w14:solidFill>
              <w14:schemeClr w14:val="tx1"/>
            </w14:solidFill>
          </w14:textFill>
        </w:rPr>
        <w:t>第二节  “十四五”规划基本原则</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"_Toc53698361" </w:instrText>
      </w:r>
      <w:r>
        <w:fldChar w:fldCharType="separate"/>
      </w:r>
      <w:r>
        <w:rPr>
          <w:rStyle w:val="27"/>
          <w:rFonts w:ascii="仿宋" w:hAnsi="仿宋" w:eastAsia="仿宋"/>
          <w:color w:val="000000" w:themeColor="text1"/>
          <w:sz w:val="24"/>
          <w14:textFill>
            <w14:solidFill>
              <w14:schemeClr w14:val="tx1"/>
            </w14:solidFill>
          </w14:textFill>
        </w:rPr>
        <w:t>第三节  “十四五”规划总体思路</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"_Toc53698362" </w:instrText>
      </w:r>
      <w:r>
        <w:fldChar w:fldCharType="separate"/>
      </w:r>
      <w:r>
        <w:rPr>
          <w:rStyle w:val="27"/>
          <w:rFonts w:ascii="仿宋" w:hAnsi="仿宋" w:eastAsia="仿宋"/>
          <w:color w:val="000000" w:themeColor="text1"/>
          <w:sz w:val="24"/>
          <w14:textFill>
            <w14:solidFill>
              <w14:schemeClr w14:val="tx1"/>
            </w14:solidFill>
          </w14:textFill>
        </w:rPr>
        <w:t>第四节  “十四五”规划主要目标</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23</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5"/>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"_Toc53698363" </w:instrText>
      </w:r>
      <w:r>
        <w:fldChar w:fldCharType="separate"/>
      </w:r>
      <w:r>
        <w:rPr>
          <w:rStyle w:val="27"/>
          <w:rFonts w:ascii="仿宋" w:hAnsi="仿宋" w:eastAsia="仿宋"/>
          <w:b/>
          <w:color w:val="000000" w:themeColor="text1"/>
          <w:sz w:val="24"/>
          <w14:textFill>
            <w14:solidFill>
              <w14:schemeClr w14:val="tx1"/>
            </w14:solidFill>
          </w14:textFill>
        </w:rPr>
        <w:t>第三章 “十四五”规划战略重点</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28</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"_Toc53698364" </w:instrText>
      </w:r>
      <w:r>
        <w:fldChar w:fldCharType="separate"/>
      </w:r>
      <w:r>
        <w:rPr>
          <w:rStyle w:val="27"/>
          <w:rFonts w:ascii="仿宋" w:hAnsi="仿宋" w:eastAsia="仿宋"/>
          <w:color w:val="000000" w:themeColor="text1"/>
          <w:sz w:val="24"/>
          <w14:textFill>
            <w14:solidFill>
              <w14:schemeClr w14:val="tx1"/>
            </w14:solidFill>
          </w14:textFill>
        </w:rPr>
        <w:t>第一节  核心主线：“两谷一带”战略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28</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"_Toc53698365" </w:instrText>
      </w:r>
      <w:r>
        <w:fldChar w:fldCharType="separate"/>
      </w:r>
      <w:r>
        <w:rPr>
          <w:rStyle w:val="27"/>
          <w:rFonts w:ascii="仿宋" w:hAnsi="仿宋" w:eastAsia="仿宋"/>
          <w:color w:val="000000" w:themeColor="text1"/>
          <w:sz w:val="24"/>
          <w14:textFill>
            <w14:solidFill>
              <w14:schemeClr w14:val="tx1"/>
            </w14:solidFill>
          </w14:textFill>
        </w:rPr>
        <w:t>第二节  着力基点：融合发展战略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29</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"_Toc53698366" </w:instrText>
      </w:r>
      <w:r>
        <w:fldChar w:fldCharType="separate"/>
      </w:r>
      <w:r>
        <w:rPr>
          <w:rStyle w:val="27"/>
          <w:rFonts w:ascii="仿宋" w:hAnsi="仿宋" w:eastAsia="仿宋"/>
          <w:color w:val="000000" w:themeColor="text1"/>
          <w:sz w:val="24"/>
          <w14:textFill>
            <w14:solidFill>
              <w14:schemeClr w14:val="tx1"/>
            </w14:solidFill>
          </w14:textFill>
        </w:rPr>
        <w:t>第三节  主攻方向：品牌战略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"_Toc53698367" </w:instrText>
      </w:r>
      <w:r>
        <w:fldChar w:fldCharType="separate"/>
      </w:r>
      <w:r>
        <w:rPr>
          <w:rStyle w:val="27"/>
          <w:rFonts w:ascii="仿宋" w:hAnsi="仿宋" w:eastAsia="仿宋"/>
          <w:color w:val="000000" w:themeColor="text1"/>
          <w:sz w:val="24"/>
          <w14:textFill>
            <w14:solidFill>
              <w14:schemeClr w14:val="tx1"/>
            </w14:solidFill>
          </w14:textFill>
        </w:rPr>
        <w:t>第四节  重要抓手：项目带动战略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31</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"_Toc53698368" </w:instrText>
      </w:r>
      <w:r>
        <w:fldChar w:fldCharType="separate"/>
      </w:r>
      <w:r>
        <w:rPr>
          <w:rStyle w:val="27"/>
          <w:rFonts w:ascii="仿宋" w:hAnsi="仿宋" w:eastAsia="仿宋"/>
          <w:color w:val="000000" w:themeColor="text1"/>
          <w:sz w:val="24"/>
          <w14:textFill>
            <w14:solidFill>
              <w14:schemeClr w14:val="tx1"/>
            </w14:solidFill>
          </w14:textFill>
        </w:rPr>
        <w:t>第五节  关键支撑：人才战略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32</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5"/>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"_Toc53698369" </w:instrText>
      </w:r>
      <w:r>
        <w:fldChar w:fldCharType="separate"/>
      </w:r>
      <w:r>
        <w:rPr>
          <w:rStyle w:val="27"/>
          <w:rFonts w:ascii="仿宋" w:hAnsi="仿宋" w:eastAsia="仿宋"/>
          <w:b/>
          <w:color w:val="000000" w:themeColor="text1"/>
          <w:sz w:val="24"/>
          <w14:textFill>
            <w14:solidFill>
              <w14:schemeClr w14:val="tx1"/>
            </w14:solidFill>
          </w14:textFill>
        </w:rPr>
        <w:t>第四章 “十四五”规划主要任务</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_Toc53698369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34</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"_Toc53698370" </w:instrText>
      </w:r>
      <w:r>
        <w:fldChar w:fldCharType="separate"/>
      </w:r>
      <w:r>
        <w:rPr>
          <w:rStyle w:val="27"/>
          <w:rFonts w:ascii="仿宋" w:hAnsi="仿宋" w:eastAsia="仿宋"/>
          <w:color w:val="000000" w:themeColor="text1"/>
          <w:sz w:val="24"/>
          <w14:textFill>
            <w14:solidFill>
              <w14:schemeClr w14:val="tx1"/>
            </w14:solidFill>
          </w14:textFill>
        </w:rPr>
        <w:t>第一节  推动全面深化改革：优化营商环境，加快项目建设</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34</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"_Toc53698371" </w:instrText>
      </w:r>
      <w:r>
        <w:fldChar w:fldCharType="separate"/>
      </w:r>
      <w:r>
        <w:rPr>
          <w:rStyle w:val="27"/>
          <w:rFonts w:ascii="仿宋" w:hAnsi="仿宋" w:eastAsia="仿宋"/>
          <w:color w:val="000000" w:themeColor="text1"/>
          <w:sz w:val="24"/>
          <w14:textFill>
            <w14:solidFill>
              <w14:schemeClr w14:val="tx1"/>
            </w14:solidFill>
          </w14:textFill>
        </w:rPr>
        <w:t>第二节  坚持创新驱动发展：培育新动能，完善创新体系</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36</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"_Toc53698372" </w:instrText>
      </w:r>
      <w:r>
        <w:fldChar w:fldCharType="separate"/>
      </w:r>
      <w:r>
        <w:rPr>
          <w:rStyle w:val="27"/>
          <w:rFonts w:ascii="仿宋" w:hAnsi="仿宋" w:eastAsia="仿宋"/>
          <w:color w:val="000000" w:themeColor="text1"/>
          <w:sz w:val="24"/>
          <w14:textFill>
            <w14:solidFill>
              <w14:schemeClr w14:val="tx1"/>
            </w14:solidFill>
          </w14:textFill>
        </w:rPr>
        <w:t>第三节  构建现代产业体系：谋划产业定位，实现特色发展</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38</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"_Toc53698373" </w:instrText>
      </w:r>
      <w:r>
        <w:fldChar w:fldCharType="separate"/>
      </w:r>
      <w:r>
        <w:rPr>
          <w:rStyle w:val="27"/>
          <w:rFonts w:ascii="仿宋" w:hAnsi="仿宋" w:eastAsia="仿宋"/>
          <w:color w:val="000000" w:themeColor="text1"/>
          <w:sz w:val="24"/>
          <w14:textFill>
            <w14:solidFill>
              <w14:schemeClr w14:val="tx1"/>
            </w14:solidFill>
          </w14:textFill>
        </w:rPr>
        <w:t>第四节  推进新型城镇化建设：完善基础设施，建设宜居乡镇</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49</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"_Toc53698374" </w:instrText>
      </w:r>
      <w:r>
        <w:fldChar w:fldCharType="separate"/>
      </w:r>
      <w:r>
        <w:rPr>
          <w:rStyle w:val="27"/>
          <w:rFonts w:ascii="仿宋" w:hAnsi="仿宋" w:eastAsia="仿宋"/>
          <w:color w:val="000000" w:themeColor="text1"/>
          <w:sz w:val="24"/>
          <w14:textFill>
            <w14:solidFill>
              <w14:schemeClr w14:val="tx1"/>
            </w14:solidFill>
          </w14:textFill>
        </w:rPr>
        <w:t>第五节  推动区域协调发展：布局经济开发区，扩大对外开放</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54</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"_Toc53698375" </w:instrText>
      </w:r>
      <w:r>
        <w:fldChar w:fldCharType="separate"/>
      </w:r>
      <w:r>
        <w:rPr>
          <w:rStyle w:val="27"/>
          <w:rFonts w:ascii="仿宋" w:hAnsi="仿宋" w:eastAsia="仿宋"/>
          <w:color w:val="000000" w:themeColor="text1"/>
          <w:sz w:val="24"/>
          <w14:textFill>
            <w14:solidFill>
              <w14:schemeClr w14:val="tx1"/>
            </w14:solidFill>
          </w14:textFill>
        </w:rPr>
        <w:t>第六节  巩固绿色发展优势：坚持生态立县，加强环境保护</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56</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"_Toc53698376" </w:instrText>
      </w:r>
      <w:r>
        <w:fldChar w:fldCharType="separate"/>
      </w:r>
      <w:r>
        <w:rPr>
          <w:rStyle w:val="27"/>
          <w:rFonts w:ascii="仿宋" w:hAnsi="仿宋" w:eastAsia="仿宋"/>
          <w:color w:val="000000" w:themeColor="text1"/>
          <w:sz w:val="24"/>
          <w14:textFill>
            <w14:solidFill>
              <w14:schemeClr w14:val="tx1"/>
            </w14:solidFill>
          </w14:textFill>
        </w:rPr>
        <w:t>第七节  创新社会治理体制：完善民主法制，提升治理能力</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60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"_Toc53698377" </w:instrText>
      </w:r>
      <w:r>
        <w:fldChar w:fldCharType="separate"/>
      </w:r>
      <w:r>
        <w:rPr>
          <w:rStyle w:val="27"/>
          <w:rFonts w:ascii="仿宋" w:hAnsi="仿宋" w:eastAsia="仿宋"/>
          <w:color w:val="000000" w:themeColor="text1"/>
          <w:sz w:val="24"/>
          <w14:textFill>
            <w14:solidFill>
              <w14:schemeClr w14:val="tx1"/>
            </w14:solidFill>
          </w14:textFill>
        </w:rPr>
        <w:t>第八节  共享振兴发展成果：构建和谐社会，增进民生福祉</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62</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olor w:val="000000" w:themeColor="text1"/>
          <w:sz w:val="24"/>
          <w14:textFill>
            <w14:solidFill>
              <w14:schemeClr w14:val="tx1"/>
            </w14:solidFill>
          </w14:textFill>
        </w:rPr>
      </w:pPr>
      <w:r>
        <w:fldChar w:fldCharType="begin"/>
      </w:r>
      <w:r>
        <w:instrText xml:space="preserve"> HYPERLINK \l "_Toc53698378" </w:instrText>
      </w:r>
      <w:r>
        <w:fldChar w:fldCharType="separate"/>
      </w:r>
      <w:r>
        <w:rPr>
          <w:rStyle w:val="27"/>
          <w:rFonts w:ascii="仿宋" w:hAnsi="仿宋" w:eastAsia="仿宋"/>
          <w:color w:val="000000" w:themeColor="text1"/>
          <w:sz w:val="24"/>
          <w14:textFill>
            <w14:solidFill>
              <w14:schemeClr w14:val="tx1"/>
            </w14:solidFill>
          </w14:textFill>
        </w:rPr>
        <w:t>第九节  深入打造文化强县：传承红色基因，壮大文化产业</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65</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olor w:val="000000" w:themeColor="text1"/>
          <w:sz w:val="24"/>
          <w14:textFill>
            <w14:solidFill>
              <w14:schemeClr w14:val="tx1"/>
            </w14:solidFill>
          </w14:textFill>
        </w:rPr>
      </w:pPr>
      <w:r>
        <w:fldChar w:fldCharType="begin"/>
      </w:r>
      <w:r>
        <w:instrText xml:space="preserve"> HYPERLINK \l "_Toc53698378" </w:instrText>
      </w:r>
      <w:r>
        <w:fldChar w:fldCharType="separate"/>
      </w:r>
      <w:r>
        <w:rPr>
          <w:rStyle w:val="27"/>
          <w:rFonts w:ascii="仿宋" w:hAnsi="仿宋" w:eastAsia="仿宋"/>
          <w:color w:val="000000" w:themeColor="text1"/>
          <w:sz w:val="24"/>
          <w14:textFill>
            <w14:solidFill>
              <w14:schemeClr w14:val="tx1"/>
            </w14:solidFill>
          </w14:textFill>
        </w:rPr>
        <w:t>第</w:t>
      </w:r>
      <w:r>
        <w:rPr>
          <w:rStyle w:val="27"/>
          <w:rFonts w:hint="eastAsia" w:ascii="仿宋" w:hAnsi="仿宋" w:eastAsia="仿宋"/>
          <w:color w:val="000000" w:themeColor="text1"/>
          <w:sz w:val="24"/>
          <w14:textFill>
            <w14:solidFill>
              <w14:schemeClr w14:val="tx1"/>
            </w14:solidFill>
          </w14:textFill>
        </w:rPr>
        <w:t>十</w:t>
      </w:r>
      <w:r>
        <w:rPr>
          <w:rStyle w:val="27"/>
          <w:rFonts w:ascii="仿宋" w:hAnsi="仿宋" w:eastAsia="仿宋"/>
          <w:color w:val="000000" w:themeColor="text1"/>
          <w:sz w:val="24"/>
          <w14:textFill>
            <w14:solidFill>
              <w14:schemeClr w14:val="tx1"/>
            </w14:solidFill>
          </w14:textFill>
        </w:rPr>
        <w:t xml:space="preserve">节  </w:t>
      </w:r>
      <w:r>
        <w:rPr>
          <w:rStyle w:val="27"/>
          <w:rFonts w:hint="eastAsia" w:ascii="仿宋" w:hAnsi="仿宋" w:eastAsia="仿宋"/>
          <w:color w:val="000000" w:themeColor="text1"/>
          <w:sz w:val="24"/>
          <w14:textFill>
            <w14:solidFill>
              <w14:schemeClr w14:val="tx1"/>
            </w14:solidFill>
          </w14:textFill>
        </w:rPr>
        <w:t>促进青年全面发展：强化思想引领，服务成长成才</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_Toc53698378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8</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5"/>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"_Toc53698379" </w:instrText>
      </w:r>
      <w:r>
        <w:fldChar w:fldCharType="separate"/>
      </w:r>
      <w:r>
        <w:rPr>
          <w:rStyle w:val="27"/>
          <w:rFonts w:ascii="仿宋" w:hAnsi="仿宋" w:eastAsia="仿宋"/>
          <w:b/>
          <w:color w:val="000000" w:themeColor="text1"/>
          <w:sz w:val="24"/>
          <w14:textFill>
            <w14:solidFill>
              <w14:schemeClr w14:val="tx1"/>
            </w14:solidFill>
          </w14:textFill>
        </w:rPr>
        <w:t>第五章 “十四五”规划保障措施</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_Toc53698379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71</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"_Toc53698380" </w:instrText>
      </w:r>
      <w:r>
        <w:fldChar w:fldCharType="separate"/>
      </w:r>
      <w:r>
        <w:rPr>
          <w:rStyle w:val="27"/>
          <w:rFonts w:ascii="仿宋" w:hAnsi="仿宋" w:eastAsia="仿宋"/>
          <w:color w:val="000000" w:themeColor="text1"/>
          <w:sz w:val="24"/>
          <w14:textFill>
            <w14:solidFill>
              <w14:schemeClr w14:val="tx1"/>
            </w14:solidFill>
          </w14:textFill>
        </w:rPr>
        <w:t>第一节  健全体制保障</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_Toc53698380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71</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"_Toc53698381" </w:instrText>
      </w:r>
      <w:r>
        <w:fldChar w:fldCharType="separate"/>
      </w:r>
      <w:r>
        <w:rPr>
          <w:rStyle w:val="27"/>
          <w:rFonts w:ascii="仿宋" w:hAnsi="仿宋" w:eastAsia="仿宋"/>
          <w:color w:val="000000" w:themeColor="text1"/>
          <w:sz w:val="24"/>
          <w14:textFill>
            <w14:solidFill>
              <w14:schemeClr w14:val="tx1"/>
            </w14:solidFill>
          </w14:textFill>
        </w:rPr>
        <w:t>第二节  完善要素保障</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_Toc53698381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72</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18"/>
        <w:tabs>
          <w:tab w:val="right" w:leader="dot" w:pos="8296"/>
        </w:tabs>
        <w:spacing w:line="400" w:lineRule="exact"/>
        <w:rPr>
          <w:rFonts w:ascii="仿宋" w:hAnsi="仿宋" w:eastAsia="仿宋" w:cstheme="minorBidi"/>
          <w:color w:val="000000" w:themeColor="text1"/>
          <w:sz w:val="24"/>
          <w14:textFill>
            <w14:solidFill>
              <w14:schemeClr w14:val="tx1"/>
            </w14:solidFill>
          </w14:textFill>
        </w:rPr>
      </w:pPr>
      <w:r>
        <w:fldChar w:fldCharType="begin"/>
      </w:r>
      <w:r>
        <w:instrText xml:space="preserve"> HYPERLINK \l "_Toc53698382" </w:instrText>
      </w:r>
      <w:r>
        <w:fldChar w:fldCharType="separate"/>
      </w:r>
      <w:r>
        <w:rPr>
          <w:rStyle w:val="27"/>
          <w:rFonts w:ascii="仿宋" w:hAnsi="仿宋" w:eastAsia="仿宋"/>
          <w:color w:val="000000" w:themeColor="text1"/>
          <w:sz w:val="24"/>
          <w14:textFill>
            <w14:solidFill>
              <w14:schemeClr w14:val="tx1"/>
            </w14:solidFill>
          </w14:textFill>
        </w:rPr>
        <w:t>第三节  强化组织保障</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_Toc53698382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73</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pPr>
        <w:pStyle w:val="21"/>
        <w:tabs>
          <w:tab w:val="center" w:pos="4153"/>
        </w:tabs>
        <w:spacing w:line="400" w:lineRule="exact"/>
        <w:jc w:val="both"/>
        <w:outlineLvl w:val="9"/>
        <w:rPr>
          <w:rFonts w:ascii="仿宋" w:hAnsi="仿宋" w:eastAsia="仿宋"/>
          <w:color w:val="000000" w:themeColor="text1"/>
          <w:sz w:val="24"/>
          <w:szCs w:val="24"/>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r>
        <w:rPr>
          <w:rFonts w:ascii="仿宋" w:hAnsi="仿宋" w:eastAsia="仿宋"/>
          <w:color w:val="000000" w:themeColor="text1"/>
          <w:sz w:val="24"/>
          <w:szCs w:val="24"/>
          <w14:textFill>
            <w14:solidFill>
              <w14:schemeClr w14:val="tx1"/>
            </w14:solidFill>
          </w14:textFill>
        </w:rPr>
        <w:fldChar w:fldCharType="end"/>
      </w:r>
    </w:p>
    <w:p>
      <w:pPr>
        <w:pStyle w:val="21"/>
        <w:spacing w:line="360" w:lineRule="auto"/>
        <w:rPr>
          <w:rFonts w:ascii="黑体" w:hAnsi="黑体" w:eastAsia="黑体"/>
          <w:b w:val="0"/>
          <w:color w:val="000000" w:themeColor="text1"/>
          <w:sz w:val="44"/>
          <w:szCs w:val="28"/>
          <w14:textFill>
            <w14:solidFill>
              <w14:schemeClr w14:val="tx1"/>
            </w14:solidFill>
          </w14:textFill>
        </w:rPr>
      </w:pPr>
      <w:bookmarkStart w:id="2" w:name="_Toc432624573"/>
      <w:bookmarkStart w:id="3" w:name="_Toc432623347"/>
      <w:bookmarkStart w:id="4" w:name="_Toc432623607"/>
      <w:bookmarkStart w:id="5" w:name="_Toc53698352"/>
      <w:bookmarkStart w:id="6" w:name="_Toc49889131"/>
      <w:r>
        <w:rPr>
          <w:rFonts w:hint="eastAsia" w:ascii="黑体" w:hAnsi="黑体" w:eastAsia="黑体"/>
          <w:b w:val="0"/>
          <w:color w:val="000000" w:themeColor="text1"/>
          <w:sz w:val="44"/>
          <w:szCs w:val="28"/>
          <w14:textFill>
            <w14:solidFill>
              <w14:schemeClr w14:val="tx1"/>
            </w14:solidFill>
          </w14:textFill>
        </w:rPr>
        <w:t>抚顺县</w:t>
      </w:r>
      <w:r>
        <w:rPr>
          <w:rFonts w:ascii="黑体" w:hAnsi="黑体" w:eastAsia="黑体"/>
          <w:b w:val="0"/>
          <w:color w:val="000000" w:themeColor="text1"/>
          <w:sz w:val="44"/>
          <w:szCs w:val="28"/>
          <w14:textFill>
            <w14:solidFill>
              <w14:schemeClr w14:val="tx1"/>
            </w14:solidFill>
          </w14:textFill>
        </w:rPr>
        <w:t>国民经济和社会发展</w:t>
      </w:r>
      <w:bookmarkEnd w:id="1"/>
      <w:bookmarkEnd w:id="2"/>
      <w:bookmarkEnd w:id="3"/>
      <w:bookmarkEnd w:id="4"/>
      <w:bookmarkStart w:id="7" w:name="_Toc432623990"/>
      <w:bookmarkStart w:id="8" w:name="_Toc432622961"/>
      <w:bookmarkStart w:id="9" w:name="_Toc432623608"/>
      <w:bookmarkStart w:id="10" w:name="_Toc432624574"/>
      <w:bookmarkStart w:id="11" w:name="_Toc432623348"/>
      <w:r>
        <w:rPr>
          <w:rFonts w:ascii="黑体" w:hAnsi="黑体" w:eastAsia="黑体"/>
          <w:b w:val="0"/>
          <w:color w:val="000000" w:themeColor="text1"/>
          <w:sz w:val="44"/>
          <w:szCs w:val="28"/>
          <w14:textFill>
            <w14:solidFill>
              <w14:schemeClr w14:val="tx1"/>
            </w14:solidFill>
          </w14:textFill>
        </w:rPr>
        <w:t>第十</w:t>
      </w:r>
      <w:r>
        <w:rPr>
          <w:rFonts w:hint="eastAsia" w:ascii="黑体" w:hAnsi="黑体" w:eastAsia="黑体"/>
          <w:b w:val="0"/>
          <w:color w:val="000000" w:themeColor="text1"/>
          <w:sz w:val="44"/>
          <w:szCs w:val="28"/>
          <w14:textFill>
            <w14:solidFill>
              <w14:schemeClr w14:val="tx1"/>
            </w14:solidFill>
          </w14:textFill>
        </w:rPr>
        <w:t>四</w:t>
      </w:r>
      <w:r>
        <w:rPr>
          <w:rFonts w:ascii="黑体" w:hAnsi="黑体" w:eastAsia="黑体"/>
          <w:b w:val="0"/>
          <w:color w:val="000000" w:themeColor="text1"/>
          <w:sz w:val="44"/>
          <w:szCs w:val="28"/>
          <w14:textFill>
            <w14:solidFill>
              <w14:schemeClr w14:val="tx1"/>
            </w14:solidFill>
          </w14:textFill>
        </w:rPr>
        <w:t>个五年规划纲要</w:t>
      </w:r>
      <w:bookmarkEnd w:id="5"/>
      <w:bookmarkEnd w:id="6"/>
      <w:bookmarkEnd w:id="7"/>
      <w:bookmarkEnd w:id="8"/>
      <w:bookmarkEnd w:id="9"/>
      <w:bookmarkEnd w:id="10"/>
      <w:bookmarkEnd w:id="11"/>
    </w:p>
    <w:p>
      <w:pPr>
        <w:tabs>
          <w:tab w:val="left" w:pos="3240"/>
        </w:tabs>
        <w:adjustRightInd w:val="0"/>
        <w:snapToGrid w:val="0"/>
        <w:spacing w:line="360" w:lineRule="auto"/>
        <w:rPr>
          <w:rFonts w:ascii="仿宋" w:hAnsi="仿宋" w:eastAsia="仿宋"/>
          <w:color w:val="000000" w:themeColor="text1"/>
          <w:sz w:val="28"/>
          <w:szCs w:val="28"/>
          <w14:textFill>
            <w14:solidFill>
              <w14:schemeClr w14:val="tx1"/>
            </w14:solidFill>
          </w14:textFill>
        </w:rPr>
      </w:pPr>
    </w:p>
    <w:p>
      <w:pPr>
        <w:tabs>
          <w:tab w:val="left" w:pos="3240"/>
        </w:tabs>
        <w:adjustRightInd w:val="0"/>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《抚顺县国民经济和社会发展第十四个五年(2021-2025年)规划纲要》，是全面贯彻落实党的十九大、</w:t>
      </w:r>
      <w:r>
        <w:rPr>
          <w:rFonts w:eastAsia="仿宋"/>
          <w:color w:val="000000" w:themeColor="text1"/>
          <w:sz w:val="28"/>
          <w:szCs w:val="28"/>
          <w14:textFill>
            <w14:solidFill>
              <w14:schemeClr w14:val="tx1"/>
            </w14:solidFill>
          </w14:textFill>
        </w:rPr>
        <w:t>十九届二中、三中、四中全会精神</w:t>
      </w:r>
      <w:r>
        <w:rPr>
          <w:rFonts w:hint="eastAsia" w:eastAsia="仿宋"/>
          <w:color w:val="000000" w:themeColor="text1"/>
          <w:sz w:val="28"/>
          <w:szCs w:val="28"/>
          <w14:textFill>
            <w14:solidFill>
              <w14:schemeClr w14:val="tx1"/>
            </w14:solidFill>
          </w14:textFill>
        </w:rPr>
        <w:t>，推动经济结构转型升级的总体规划，是县政府和各部门依法履行工作职责，编制和实施各类规划、计划以及制定相关政策的指导性文件，是未来五年建设幸福美好和谐抚顺县的宏伟蓝图，也是引领全县人民共同奋斗的行动纲领。“十四五”时期是在全面建设小康社会基础上开启基本实现社会主义现代化新征程的第一个五年期，是开始为实现第二个百年奋斗目标而努力的重要时期，也是迈向高收入阶段的开局时期和实施创新强国阶段的开局时期。在“十三五”规划收官之年，突如其来的新冠肺炎疫情，不仅给实现经济社会发展目标任务带来困难和挑战，而且也将深刻影响“十四五”规划纲要的制定与实施。因此，《抚顺县国民经济和社会发展第十四个五年(2021-2025年)规划纲要》在充分分析国内外形势变化和总结我县过去五年发展情况的基础上，系统谋划“十四五”时期发展思路和主要任务</w:t>
      </w:r>
      <w:r>
        <w:rPr>
          <w:rFonts w:hint="eastAsia" w:ascii="仿宋" w:hAnsi="仿宋" w:eastAsia="仿宋" w:cs="Arial"/>
          <w:color w:val="000000" w:themeColor="text1"/>
          <w:sz w:val="28"/>
          <w:szCs w:val="28"/>
          <w14:textFill>
            <w14:solidFill>
              <w14:schemeClr w14:val="tx1"/>
            </w14:solidFill>
          </w14:textFill>
        </w:rPr>
        <w:t>，扎实做好“六稳”“六保”工作，推进经济社会高质量发展。</w:t>
      </w:r>
    </w:p>
    <w:p>
      <w:pPr>
        <w:widowControl/>
        <w:jc w:val="left"/>
        <w:rPr>
          <w:rFonts w:ascii="仿宋" w:hAnsi="仿宋" w:eastAsia="仿宋"/>
          <w:b/>
          <w:bCs/>
          <w:color w:val="000000" w:themeColor="text1"/>
          <w:kern w:val="44"/>
          <w:sz w:val="36"/>
          <w:szCs w:val="28"/>
          <w14:textFill>
            <w14:solidFill>
              <w14:schemeClr w14:val="tx1"/>
            </w14:solidFill>
          </w14:textFill>
        </w:rPr>
      </w:pPr>
      <w:r>
        <w:rPr>
          <w:rFonts w:ascii="仿宋" w:hAnsi="仿宋" w:eastAsia="仿宋"/>
          <w:b/>
          <w:color w:val="000000" w:themeColor="text1"/>
          <w:szCs w:val="28"/>
          <w14:textFill>
            <w14:solidFill>
              <w14:schemeClr w14:val="tx1"/>
            </w14:solidFill>
          </w14:textFill>
        </w:rPr>
        <w:br w:type="page"/>
      </w:r>
    </w:p>
    <w:p>
      <w:pPr>
        <w:pStyle w:val="3"/>
        <w:spacing w:line="360" w:lineRule="auto"/>
        <w:jc w:val="center"/>
        <w:rPr>
          <w:rFonts w:ascii="仿宋" w:hAnsi="仿宋" w:eastAsia="仿宋"/>
          <w:b/>
          <w:color w:val="000000" w:themeColor="text1"/>
          <w:szCs w:val="28"/>
          <w14:textFill>
            <w14:solidFill>
              <w14:schemeClr w14:val="tx1"/>
            </w14:solidFill>
          </w14:textFill>
        </w:rPr>
      </w:pPr>
      <w:bookmarkStart w:id="12" w:name="_Toc53698353"/>
      <w:r>
        <w:rPr>
          <w:rFonts w:hint="eastAsia" w:ascii="仿宋" w:hAnsi="仿宋" w:eastAsia="仿宋"/>
          <w:b/>
          <w:color w:val="000000" w:themeColor="text1"/>
          <w:szCs w:val="28"/>
          <w14:textFill>
            <w14:solidFill>
              <w14:schemeClr w14:val="tx1"/>
            </w14:solidFill>
          </w14:textFill>
        </w:rPr>
        <w:t>第一章 发展</w:t>
      </w:r>
      <w:r>
        <w:rPr>
          <w:rFonts w:ascii="仿宋" w:hAnsi="仿宋" w:eastAsia="仿宋"/>
          <w:b/>
          <w:color w:val="000000" w:themeColor="text1"/>
          <w:szCs w:val="28"/>
          <w14:textFill>
            <w14:solidFill>
              <w14:schemeClr w14:val="tx1"/>
            </w14:solidFill>
          </w14:textFill>
        </w:rPr>
        <w:t>基础与发展环境</w:t>
      </w:r>
      <w:bookmarkEnd w:id="12"/>
    </w:p>
    <w:p>
      <w:pPr>
        <w:pStyle w:val="4"/>
        <w:spacing w:line="360" w:lineRule="auto"/>
        <w:ind w:firstLine="0" w:firstLineChars="0"/>
        <w:jc w:val="center"/>
        <w:rPr>
          <w:color w:val="000000" w:themeColor="text1"/>
          <w14:textFill>
            <w14:solidFill>
              <w14:schemeClr w14:val="tx1"/>
            </w14:solidFill>
          </w14:textFill>
        </w:rPr>
      </w:pPr>
      <w:bookmarkStart w:id="13" w:name="_Toc53698354"/>
      <w:bookmarkStart w:id="14" w:name="_Hlk51661289"/>
      <w:r>
        <w:rPr>
          <w:rFonts w:hint="eastAsia"/>
          <w:color w:val="000000" w:themeColor="text1"/>
          <w14:textFill>
            <w14:solidFill>
              <w14:schemeClr w14:val="tx1"/>
            </w14:solidFill>
          </w14:textFill>
        </w:rPr>
        <w:t xml:space="preserve">第一节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“十三五”</w:t>
      </w:r>
      <w:r>
        <w:rPr>
          <w:color w:val="000000" w:themeColor="text1"/>
          <w14:textFill>
            <w14:solidFill>
              <w14:schemeClr w14:val="tx1"/>
            </w14:solidFill>
          </w14:textFill>
        </w:rPr>
        <w:t>时期发展成就</w:t>
      </w:r>
      <w:bookmarkEnd w:id="13"/>
    </w:p>
    <w:p>
      <w:pPr>
        <w:spacing w:line="360" w:lineRule="auto"/>
        <w:ind w:right="-52"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一、坚持振兴发展，经济发展实现稳中提质</w:t>
      </w:r>
    </w:p>
    <w:p>
      <w:pPr>
        <w:spacing w:line="360" w:lineRule="auto"/>
        <w:ind w:right="-52" w:firstLine="560" w:firstLineChars="200"/>
        <w:rPr>
          <w:rFonts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“十三五”期间，全县坚</w:t>
      </w:r>
      <w:r>
        <w:rPr>
          <w:rFonts w:hint="eastAsia" w:ascii="仿宋" w:hAnsi="仿宋" w:eastAsia="仿宋"/>
          <w:color w:val="000000" w:themeColor="text1"/>
          <w:sz w:val="28"/>
          <w:szCs w:val="28"/>
          <w14:textFill>
            <w14:solidFill>
              <w14:schemeClr w14:val="tx1"/>
            </w14:solidFill>
          </w14:textFill>
        </w:rPr>
        <w:t>持振兴发展，积极应对国内外发展环境的变化，尤其是新型冠状病毒肺炎疫情的影响，经济总体上实现了稳定增长。全县地区生产总值由</w:t>
      </w:r>
      <w:r>
        <w:rPr>
          <w:rFonts w:eastAsia="仿宋"/>
          <w:color w:val="000000" w:themeColor="text1"/>
          <w:sz w:val="28"/>
          <w:szCs w:val="28"/>
          <w14:textFill>
            <w14:solidFill>
              <w14:schemeClr w14:val="tx1"/>
            </w14:solidFill>
          </w14:textFill>
        </w:rPr>
        <w:t>2015</w:t>
      </w:r>
      <w:r>
        <w:rPr>
          <w:rFonts w:hint="eastAsia" w:ascii="仿宋" w:hAnsi="仿宋" w:eastAsia="仿宋"/>
          <w:color w:val="000000" w:themeColor="text1"/>
          <w:sz w:val="28"/>
          <w:szCs w:val="28"/>
          <w14:textFill>
            <w14:solidFill>
              <w14:schemeClr w14:val="tx1"/>
            </w14:solidFill>
          </w14:textFill>
        </w:rPr>
        <w:t>年的</w:t>
      </w:r>
      <w:r>
        <w:rPr>
          <w:rFonts w:eastAsia="仿宋"/>
          <w:color w:val="000000" w:themeColor="text1"/>
          <w:sz w:val="28"/>
          <w:szCs w:val="28"/>
          <w14:textFill>
            <w14:solidFill>
              <w14:schemeClr w14:val="tx1"/>
            </w14:solidFill>
          </w14:textFill>
        </w:rPr>
        <w:t>25</w:t>
      </w:r>
      <w:r>
        <w:rPr>
          <w:rFonts w:hint="eastAsia" w:eastAsia="仿宋"/>
          <w:color w:val="000000" w:themeColor="text1"/>
          <w:sz w:val="28"/>
          <w:szCs w:val="28"/>
          <w14:textFill>
            <w14:solidFill>
              <w14:schemeClr w14:val="tx1"/>
            </w14:solidFill>
          </w14:textFill>
        </w:rPr>
        <w:t>.7</w:t>
      </w:r>
      <w:r>
        <w:rPr>
          <w:rFonts w:eastAsia="仿宋"/>
          <w:color w:val="000000" w:themeColor="text1"/>
          <w:sz w:val="28"/>
          <w:szCs w:val="28"/>
          <w14:textFill>
            <w14:solidFill>
              <w14:schemeClr w14:val="tx1"/>
            </w14:solidFill>
          </w14:textFill>
        </w:rPr>
        <w:t>6</w:t>
      </w:r>
      <w:r>
        <w:rPr>
          <w:rFonts w:hint="eastAsia" w:eastAsia="仿宋"/>
          <w:color w:val="000000" w:themeColor="text1"/>
          <w:sz w:val="28"/>
          <w:szCs w:val="28"/>
          <w14:textFill>
            <w14:solidFill>
              <w14:schemeClr w14:val="tx1"/>
            </w14:solidFill>
          </w14:textFill>
        </w:rPr>
        <w:t>亿元增加到2020年的30</w:t>
      </w:r>
      <w:r>
        <w:rPr>
          <w:rFonts w:eastAsia="仿宋"/>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05亿元，年均</w:t>
      </w:r>
      <w:r>
        <w:rPr>
          <w:rFonts w:hint="eastAsia" w:ascii="仿宋" w:hAnsi="仿宋" w:eastAsia="仿宋"/>
          <w:color w:val="000000" w:themeColor="text1"/>
          <w:sz w:val="28"/>
          <w:szCs w:val="28"/>
          <w14:textFill>
            <w14:solidFill>
              <w14:schemeClr w14:val="tx1"/>
            </w14:solidFill>
          </w14:textFill>
        </w:rPr>
        <w:t>增长率</w:t>
      </w:r>
      <w:r>
        <w:rPr>
          <w:rFonts w:eastAsia="仿宋"/>
          <w:color w:val="000000" w:themeColor="text1"/>
          <w:sz w:val="28"/>
          <w:szCs w:val="28"/>
          <w14:textFill>
            <w14:solidFill>
              <w14:schemeClr w14:val="tx1"/>
            </w14:solidFill>
          </w14:textFill>
        </w:rPr>
        <w:t>为</w:t>
      </w:r>
      <w:r>
        <w:rPr>
          <w:rFonts w:hint="eastAsia" w:eastAsia="仿宋"/>
          <w:color w:val="000000" w:themeColor="text1"/>
          <w:sz w:val="28"/>
          <w:szCs w:val="28"/>
          <w14:textFill>
            <w14:solidFill>
              <w14:schemeClr w14:val="tx1"/>
            </w14:solidFill>
          </w14:textFill>
        </w:rPr>
        <w:t>2.82</w:t>
      </w:r>
      <w:r>
        <w:rPr>
          <w:rFonts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全县一般公共预算收入由</w:t>
      </w:r>
      <w:r>
        <w:rPr>
          <w:rFonts w:eastAsia="仿宋"/>
          <w:bCs/>
          <w:color w:val="000000" w:themeColor="text1"/>
          <w:sz w:val="28"/>
          <w:szCs w:val="28"/>
          <w14:textFill>
            <w14:solidFill>
              <w14:schemeClr w14:val="tx1"/>
            </w14:solidFill>
          </w14:textFill>
        </w:rPr>
        <w:t>2015年的3.21</w:t>
      </w:r>
      <w:r>
        <w:rPr>
          <w:rFonts w:hint="eastAsia" w:ascii="仿宋" w:hAnsi="仿宋" w:eastAsia="仿宋"/>
          <w:bCs/>
          <w:color w:val="000000" w:themeColor="text1"/>
          <w:sz w:val="28"/>
          <w:szCs w:val="28"/>
          <w14:textFill>
            <w14:solidFill>
              <w14:schemeClr w14:val="tx1"/>
            </w14:solidFill>
          </w14:textFill>
        </w:rPr>
        <w:t>亿元增加</w:t>
      </w:r>
      <w:r>
        <w:rPr>
          <w:rFonts w:eastAsia="仿宋"/>
          <w:bCs/>
          <w:color w:val="000000" w:themeColor="text1"/>
          <w:sz w:val="28"/>
          <w:szCs w:val="28"/>
          <w14:textFill>
            <w14:solidFill>
              <w14:schemeClr w14:val="tx1"/>
            </w14:solidFill>
          </w14:textFill>
        </w:rPr>
        <w:t>到20</w:t>
      </w:r>
      <w:r>
        <w:rPr>
          <w:rFonts w:hint="eastAsia" w:eastAsia="仿宋"/>
          <w:bCs/>
          <w:color w:val="000000" w:themeColor="text1"/>
          <w:sz w:val="28"/>
          <w:szCs w:val="28"/>
          <w14:textFill>
            <w14:solidFill>
              <w14:schemeClr w14:val="tx1"/>
            </w14:solidFill>
          </w14:textFill>
        </w:rPr>
        <w:t>20</w:t>
      </w:r>
      <w:r>
        <w:rPr>
          <w:rFonts w:eastAsia="仿宋"/>
          <w:bCs/>
          <w:color w:val="000000" w:themeColor="text1"/>
          <w:sz w:val="28"/>
          <w:szCs w:val="28"/>
          <w14:textFill>
            <w14:solidFill>
              <w14:schemeClr w14:val="tx1"/>
            </w14:solidFill>
          </w14:textFill>
        </w:rPr>
        <w:t>年的5.</w:t>
      </w:r>
      <w:r>
        <w:rPr>
          <w:rFonts w:hint="eastAsia" w:eastAsia="仿宋"/>
          <w:bCs/>
          <w:color w:val="000000" w:themeColor="text1"/>
          <w:sz w:val="28"/>
          <w:szCs w:val="28"/>
          <w14:textFill>
            <w14:solidFill>
              <w14:schemeClr w14:val="tx1"/>
            </w14:solidFill>
          </w14:textFill>
        </w:rPr>
        <w:t>51</w:t>
      </w:r>
      <w:r>
        <w:rPr>
          <w:rFonts w:eastAsia="仿宋"/>
          <w:bCs/>
          <w:color w:val="000000" w:themeColor="text1"/>
          <w:sz w:val="28"/>
          <w:szCs w:val="28"/>
          <w14:textFill>
            <w14:solidFill>
              <w14:schemeClr w14:val="tx1"/>
            </w14:solidFill>
          </w14:textFill>
        </w:rPr>
        <w:t>亿元</w:t>
      </w:r>
      <w:r>
        <w:rPr>
          <w:rFonts w:hint="eastAsia" w:ascii="仿宋" w:hAnsi="仿宋" w:eastAsia="仿宋"/>
          <w:bCs/>
          <w:color w:val="000000" w:themeColor="text1"/>
          <w:sz w:val="28"/>
          <w:szCs w:val="28"/>
          <w14:textFill>
            <w14:solidFill>
              <w14:schemeClr w14:val="tx1"/>
            </w14:solidFill>
          </w14:textFill>
        </w:rPr>
        <w:t>，年均增长率为</w:t>
      </w:r>
      <w:r>
        <w:rPr>
          <w:rFonts w:hint="eastAsia" w:eastAsia="仿宋"/>
          <w:bCs/>
          <w:color w:val="000000" w:themeColor="text1"/>
          <w:sz w:val="28"/>
          <w:szCs w:val="28"/>
          <w14:textFill>
            <w14:solidFill>
              <w14:schemeClr w14:val="tx1"/>
            </w14:solidFill>
          </w14:textFill>
        </w:rPr>
        <w:t>11</w:t>
      </w:r>
      <w:r>
        <w:rPr>
          <w:rFonts w:eastAsia="仿宋"/>
          <w:bCs/>
          <w:color w:val="000000" w:themeColor="text1"/>
          <w:sz w:val="28"/>
          <w:szCs w:val="28"/>
          <w14:textFill>
            <w14:solidFill>
              <w14:schemeClr w14:val="tx1"/>
            </w14:solidFill>
          </w14:textFill>
        </w:rPr>
        <w:t>.</w:t>
      </w:r>
      <w:r>
        <w:rPr>
          <w:rFonts w:hint="eastAsia" w:eastAsia="仿宋"/>
          <w:bCs/>
          <w:color w:val="000000" w:themeColor="text1"/>
          <w:sz w:val="28"/>
          <w:szCs w:val="28"/>
          <w14:textFill>
            <w14:solidFill>
              <w14:schemeClr w14:val="tx1"/>
            </w14:solidFill>
          </w14:textFill>
        </w:rPr>
        <w:t>92</w:t>
      </w:r>
      <w:r>
        <w:rPr>
          <w:rFonts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；全县固定资产投资</w:t>
      </w:r>
      <w:r>
        <w:rPr>
          <w:rFonts w:hint="eastAsia" w:eastAsia="仿宋"/>
          <w:bCs/>
          <w:color w:val="000000" w:themeColor="text1"/>
          <w:sz w:val="28"/>
          <w:szCs w:val="28"/>
          <w14:textFill>
            <w14:solidFill>
              <w14:schemeClr w14:val="tx1"/>
            </w14:solidFill>
          </w14:textFill>
        </w:rPr>
        <w:t>累计完成57.94亿元；城镇化率</w:t>
      </w:r>
      <w:r>
        <w:rPr>
          <w:rFonts w:eastAsia="仿宋"/>
          <w:bCs/>
          <w:color w:val="000000" w:themeColor="text1"/>
          <w:sz w:val="28"/>
          <w:szCs w:val="28"/>
          <w14:textFill>
            <w14:solidFill>
              <w14:schemeClr w14:val="tx1"/>
            </w14:solidFill>
          </w14:textFill>
        </w:rPr>
        <w:t>达到36.8%</w:t>
      </w:r>
      <w:r>
        <w:rPr>
          <w:rFonts w:hint="eastAsia" w:eastAsia="仿宋"/>
          <w:bCs/>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农村居民人均可支配收入</w:t>
      </w:r>
      <w:r>
        <w:rPr>
          <w:rFonts w:hint="eastAsia" w:eastAsia="仿宋"/>
          <w:color w:val="000000" w:themeColor="text1"/>
          <w:sz w:val="28"/>
          <w:szCs w:val="28"/>
          <w14:textFill>
            <w14:solidFill>
              <w14:schemeClr w14:val="tx1"/>
            </w14:solidFill>
          </w14:textFill>
        </w:rPr>
        <w:t>由2015年的12352元增加到2020年的</w:t>
      </w:r>
      <w:r>
        <w:rPr>
          <w:rFonts w:eastAsia="仿宋"/>
          <w:color w:val="000000" w:themeColor="text1"/>
          <w:sz w:val="28"/>
          <w:szCs w:val="28"/>
          <w14:textFill>
            <w14:solidFill>
              <w14:schemeClr w14:val="tx1"/>
            </w14:solidFill>
          </w14:textFill>
        </w:rPr>
        <w:t>17224元</w:t>
      </w:r>
      <w:r>
        <w:rPr>
          <w:rFonts w:hint="eastAsia" w:eastAsia="仿宋"/>
          <w:color w:val="000000" w:themeColor="text1"/>
          <w:sz w:val="28"/>
          <w:szCs w:val="28"/>
          <w14:textFill>
            <w14:solidFill>
              <w14:schemeClr w14:val="tx1"/>
            </w14:solidFill>
          </w14:textFill>
        </w:rPr>
        <w:t>，年均增长率为6.88%，较2010年的7600元相比，实现了</w:t>
      </w:r>
      <w:r>
        <w:rPr>
          <w:rFonts w:hint="eastAsia" w:ascii="仿宋" w:hAnsi="仿宋" w:eastAsia="仿宋"/>
          <w:color w:val="000000" w:themeColor="text1"/>
          <w:sz w:val="28"/>
          <w:szCs w:val="28"/>
          <w14:textFill>
            <w14:solidFill>
              <w14:schemeClr w14:val="tx1"/>
            </w14:solidFill>
          </w14:textFill>
        </w:rPr>
        <w:t>中央提出的</w:t>
      </w:r>
      <w:r>
        <w:rPr>
          <w:rFonts w:eastAsia="仿宋"/>
          <w:color w:val="000000" w:themeColor="text1"/>
          <w:sz w:val="28"/>
          <w:szCs w:val="28"/>
          <w14:textFill>
            <w14:solidFill>
              <w14:schemeClr w14:val="tx1"/>
            </w14:solidFill>
          </w14:textFill>
        </w:rPr>
        <w:t>到2020年</w:t>
      </w:r>
      <w:r>
        <w:rPr>
          <w:rFonts w:hint="eastAsia" w:ascii="仿宋" w:hAnsi="仿宋" w:eastAsia="仿宋"/>
          <w:color w:val="000000" w:themeColor="text1"/>
          <w:sz w:val="28"/>
          <w:szCs w:val="28"/>
          <w14:textFill>
            <w14:solidFill>
              <w14:schemeClr w14:val="tx1"/>
            </w14:solidFill>
          </w14:textFill>
        </w:rPr>
        <w:t>国内城乡居民人均收入比</w:t>
      </w:r>
      <w:r>
        <w:rPr>
          <w:rFonts w:eastAsia="仿宋"/>
          <w:color w:val="000000" w:themeColor="text1"/>
          <w:sz w:val="28"/>
          <w:szCs w:val="28"/>
          <w14:textFill>
            <w14:solidFill>
              <w14:schemeClr w14:val="tx1"/>
            </w14:solidFill>
          </w14:textFill>
        </w:rPr>
        <w:t>2010年</w:t>
      </w:r>
      <w:r>
        <w:rPr>
          <w:rFonts w:hint="eastAsia" w:ascii="仿宋" w:hAnsi="仿宋" w:eastAsia="仿宋"/>
          <w:color w:val="000000" w:themeColor="text1"/>
          <w:sz w:val="28"/>
          <w:szCs w:val="28"/>
          <w14:textFill>
            <w14:solidFill>
              <w14:schemeClr w14:val="tx1"/>
            </w14:solidFill>
          </w14:textFill>
        </w:rPr>
        <w:t>翻一番的总体要求。产业结构不断优化，三次产业比重为</w:t>
      </w:r>
      <w:r>
        <w:rPr>
          <w:rFonts w:hint="eastAsia" w:eastAsia="仿宋"/>
          <w:color w:val="000000" w:themeColor="text1"/>
          <w:sz w:val="28"/>
          <w:szCs w:val="28"/>
          <w:highlight w:val="yellow"/>
          <w14:textFill>
            <w14:solidFill>
              <w14:schemeClr w14:val="tx1"/>
            </w14:solidFill>
          </w14:textFill>
        </w:rPr>
        <w:t>（ ）</w:t>
      </w:r>
      <w:r>
        <w:rPr>
          <w:rFonts w:hint="eastAsia" w:eastAsia="仿宋"/>
          <w:color w:val="000000" w:themeColor="text1"/>
          <w:sz w:val="28"/>
          <w:szCs w:val="28"/>
          <w14:textFill>
            <w14:solidFill>
              <w14:schemeClr w14:val="tx1"/>
            </w14:solidFill>
          </w14:textFill>
        </w:rPr>
        <w:t>，二三产业占比提高3.3个百分点。</w:t>
      </w:r>
    </w:p>
    <w:p>
      <w:pPr>
        <w:spacing w:line="360" w:lineRule="auto"/>
        <w:ind w:right="-52"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二、深耕特色农业，农业现代化水平稳步提升</w:t>
      </w:r>
    </w:p>
    <w:p>
      <w:pPr>
        <w:spacing w:line="360" w:lineRule="auto"/>
        <w:ind w:right="-52"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“十三五”时期，全县深入实施城郊型特色农业发展扶持政策，特色农业规模持续壮大，产业结构不断优化。我县形成了以食用菌、粮食、果树、设施农业和柞蚕产业为主导的农业特色产业体系。五大产业面积</w:t>
      </w:r>
      <w:r>
        <w:rPr>
          <w:rFonts w:eastAsia="仿宋"/>
          <w:color w:val="000000" w:themeColor="text1"/>
          <w:sz w:val="28"/>
          <w:szCs w:val="28"/>
          <w14:textFill>
            <w14:solidFill>
              <w14:schemeClr w14:val="tx1"/>
            </w14:solidFill>
          </w14:textFill>
        </w:rPr>
        <w:t>37.88万亩，产值9.3284</w:t>
      </w:r>
      <w:r>
        <w:rPr>
          <w:rFonts w:hint="eastAsia" w:ascii="仿宋" w:hAnsi="仿宋" w:eastAsia="仿宋"/>
          <w:color w:val="000000" w:themeColor="text1"/>
          <w:sz w:val="28"/>
          <w:szCs w:val="28"/>
          <w14:textFill>
            <w14:solidFill>
              <w14:schemeClr w14:val="tx1"/>
            </w14:solidFill>
          </w14:textFill>
        </w:rPr>
        <w:t>亿元,占农业总产值的</w:t>
      </w:r>
      <w:r>
        <w:rPr>
          <w:rFonts w:eastAsia="仿宋"/>
          <w:color w:val="000000" w:themeColor="text1"/>
          <w:sz w:val="28"/>
          <w:szCs w:val="28"/>
          <w14:textFill>
            <w14:solidFill>
              <w14:schemeClr w14:val="tx1"/>
            </w14:solidFill>
          </w14:textFill>
        </w:rPr>
        <w:t>61.9%</w:t>
      </w:r>
      <w:r>
        <w:rPr>
          <w:rFonts w:hint="eastAsia" w:ascii="仿宋" w:hAnsi="仿宋" w:eastAsia="仿宋"/>
          <w:color w:val="000000" w:themeColor="text1"/>
          <w:sz w:val="28"/>
          <w:szCs w:val="28"/>
          <w14:textFill>
            <w14:solidFill>
              <w14:schemeClr w14:val="tx1"/>
            </w14:solidFill>
          </w14:textFill>
        </w:rPr>
        <w:t>。依托丰富的林地资源，我县发展山野菜</w:t>
      </w:r>
      <w:r>
        <w:rPr>
          <w:rFonts w:eastAsia="仿宋"/>
          <w:color w:val="000000" w:themeColor="text1"/>
          <w:sz w:val="28"/>
          <w:szCs w:val="28"/>
          <w14:textFill>
            <w14:solidFill>
              <w14:schemeClr w14:val="tx1"/>
            </w14:solidFill>
          </w14:textFill>
        </w:rPr>
        <w:t>1.72万亩，中药材0.67万亩，种植野山参、五味子、细辛、贝母、黄芪、龙胆草、防风、关白附、柴胡等中药材品种100余种。无公害绿色有机农业</w:t>
      </w:r>
      <w:r>
        <w:rPr>
          <w:rFonts w:hint="eastAsia" w:ascii="仿宋" w:hAnsi="仿宋" w:eastAsia="仿宋"/>
          <w:color w:val="000000" w:themeColor="text1"/>
          <w:sz w:val="28"/>
          <w:szCs w:val="28"/>
          <w14:textFill>
            <w14:solidFill>
              <w14:schemeClr w14:val="tx1"/>
            </w14:solidFill>
          </w14:textFill>
        </w:rPr>
        <w:t>发展迅速，绿色、有机食品认证总面积达到</w:t>
      </w:r>
      <w:r>
        <w:rPr>
          <w:rFonts w:eastAsia="仿宋"/>
          <w:color w:val="000000" w:themeColor="text1"/>
          <w:sz w:val="28"/>
          <w:szCs w:val="28"/>
          <w14:textFill>
            <w14:solidFill>
              <w14:schemeClr w14:val="tx1"/>
            </w14:solidFill>
          </w14:textFill>
        </w:rPr>
        <w:t>1.14</w:t>
      </w:r>
      <w:r>
        <w:rPr>
          <w:rFonts w:hint="eastAsia" w:ascii="仿宋" w:hAnsi="仿宋" w:eastAsia="仿宋"/>
          <w:color w:val="000000" w:themeColor="text1"/>
          <w:sz w:val="28"/>
          <w:szCs w:val="28"/>
          <w14:textFill>
            <w14:solidFill>
              <w14:schemeClr w14:val="tx1"/>
            </w14:solidFill>
          </w14:textFill>
        </w:rPr>
        <w:t>万亩。“十三五”时期，全县大力推进农业现代化建设，农业供给侧结构性改革效果明显。新型农业经营主体不断壮大，全县农业龙头企</w:t>
      </w:r>
      <w:r>
        <w:rPr>
          <w:rFonts w:eastAsia="仿宋"/>
          <w:color w:val="000000" w:themeColor="text1"/>
          <w:sz w:val="28"/>
          <w:szCs w:val="28"/>
          <w14:textFill>
            <w14:solidFill>
              <w14:schemeClr w14:val="tx1"/>
            </w14:solidFill>
          </w14:textFill>
        </w:rPr>
        <w:t>业达</w:t>
      </w:r>
      <w:r>
        <w:rPr>
          <w:rFonts w:hint="eastAsia" w:eastAsia="仿宋"/>
          <w:color w:val="000000" w:themeColor="text1"/>
          <w:sz w:val="28"/>
          <w:szCs w:val="28"/>
          <w14:textFill>
            <w14:solidFill>
              <w14:schemeClr w14:val="tx1"/>
            </w14:solidFill>
          </w14:textFill>
        </w:rPr>
        <w:t>15</w:t>
      </w:r>
      <w:r>
        <w:rPr>
          <w:rFonts w:eastAsia="仿宋"/>
          <w:color w:val="000000" w:themeColor="text1"/>
          <w:sz w:val="28"/>
          <w:szCs w:val="28"/>
          <w14:textFill>
            <w14:solidFill>
              <w14:schemeClr w14:val="tx1"/>
            </w14:solidFill>
          </w14:textFill>
        </w:rPr>
        <w:t>家，农民专业合作社达481家，家庭农场67家，带动农户1.3万余户</w:t>
      </w:r>
      <w:r>
        <w:rPr>
          <w:rFonts w:hint="eastAsia"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农产品生产销售、精深加工、出口创汇接连取得新突破。以单片黑木耳为代表的食用菌产业化进程明显加快，单片黑木耳产量位居全省第一，被评为全国食用菌产业化建设示范县。注重农产品品质和品牌建设，建立了农产品可追溯系统，范围不断扩大。“十三五”期间，全县坚持规划先行，积极推进各类项目稳步发展，取得了显著的成绩。</w:t>
      </w:r>
      <w:r>
        <w:rPr>
          <w:rFonts w:eastAsia="仿宋"/>
          <w:color w:val="000000" w:themeColor="text1"/>
          <w:sz w:val="28"/>
          <w:szCs w:val="28"/>
          <w14:textFill>
            <w14:solidFill>
              <w14:schemeClr w14:val="tx1"/>
            </w14:solidFill>
          </w14:textFill>
        </w:rPr>
        <w:t>成立了全省首家农业科</w:t>
      </w:r>
      <w:r>
        <w:rPr>
          <w:rFonts w:hint="eastAsia" w:ascii="仿宋" w:hAnsi="仿宋" w:eastAsia="仿宋"/>
          <w:color w:val="000000" w:themeColor="text1"/>
          <w:sz w:val="28"/>
          <w:szCs w:val="28"/>
          <w14:textFill>
            <w14:solidFill>
              <w14:schemeClr w14:val="tx1"/>
            </w14:solidFill>
          </w14:textFill>
        </w:rPr>
        <w:t>技孵化园，被科技部评为全国第一批“星创天地”；七彩柞蚕获批地理标志保护产品；石文镇、峡河乡被评为“辽宁特产之乡”；省农产品质量安全县等待省级验收；三友公司成为全省唯一被评为国家食用菌区域良种繁育基地、省级食用菌产业工程技术研究中心。《抚顺县“两谷一带”农业产业融合发展规划》编制完成。</w:t>
      </w:r>
    </w:p>
    <w:p>
      <w:pPr>
        <w:spacing w:line="360" w:lineRule="auto"/>
        <w:ind w:right="-52"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三、聚焦项目建设，推动工业转型升级</w:t>
      </w:r>
    </w:p>
    <w:p>
      <w:pPr>
        <w:ind w:firstLine="560" w:firstLineChars="200"/>
        <w:rPr>
          <w:rFonts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“十三五”期间，面对经济持续下行压力，全县</w:t>
      </w:r>
      <w:r>
        <w:rPr>
          <w:rFonts w:hint="eastAsia" w:eastAsia="仿宋"/>
          <w:color w:val="000000" w:themeColor="text1"/>
          <w:sz w:val="28"/>
          <w:szCs w:val="28"/>
          <w14:textFill>
            <w14:solidFill>
              <w14:schemeClr w14:val="tx1"/>
            </w14:solidFill>
          </w14:textFill>
        </w:rPr>
        <w:t>坚持强支撑、促转型、增动力，大力支持传统产业转型升级，积极扶持新兴产业加速发展，实现</w:t>
      </w:r>
      <w:r>
        <w:rPr>
          <w:rFonts w:hint="eastAsia" w:ascii="仿宋" w:hAnsi="仿宋" w:eastAsia="仿宋"/>
          <w:color w:val="000000" w:themeColor="text1"/>
          <w:sz w:val="28"/>
          <w:szCs w:val="28"/>
          <w14:textFill>
            <w14:solidFill>
              <w14:schemeClr w14:val="tx1"/>
            </w14:solidFill>
          </w14:textFill>
        </w:rPr>
        <w:t>工业经济运行平稳</w:t>
      </w:r>
      <w:r>
        <w:rPr>
          <w:rFonts w:hint="eastAsia" w:eastAsia="仿宋"/>
          <w:color w:val="000000" w:themeColor="text1"/>
          <w:sz w:val="28"/>
          <w:szCs w:val="28"/>
          <w14:textFill>
            <w14:solidFill>
              <w14:schemeClr w14:val="tx1"/>
            </w14:solidFill>
          </w14:textFill>
        </w:rPr>
        <w:t>。预计到2020</w:t>
      </w:r>
      <w:r>
        <w:rPr>
          <w:rFonts w:eastAsia="仿宋"/>
          <w:color w:val="000000" w:themeColor="text1"/>
          <w:sz w:val="28"/>
          <w:szCs w:val="28"/>
          <w14:textFill>
            <w14:solidFill>
              <w14:schemeClr w14:val="tx1"/>
            </w14:solidFill>
          </w14:textFill>
        </w:rPr>
        <w:t>年，全县规上工业总产值达到</w:t>
      </w:r>
      <w:r>
        <w:rPr>
          <w:rFonts w:hint="eastAsia" w:eastAsia="仿宋"/>
          <w:color w:val="000000" w:themeColor="text1"/>
          <w:sz w:val="28"/>
          <w:szCs w:val="28"/>
          <w14:textFill>
            <w14:solidFill>
              <w14:schemeClr w14:val="tx1"/>
            </w14:solidFill>
          </w14:textFill>
        </w:rPr>
        <w:t>18.5</w:t>
      </w:r>
      <w:r>
        <w:rPr>
          <w:rFonts w:eastAsia="仿宋"/>
          <w:color w:val="000000" w:themeColor="text1"/>
          <w:sz w:val="28"/>
          <w:szCs w:val="28"/>
          <w14:textFill>
            <w14:solidFill>
              <w14:schemeClr w14:val="tx1"/>
            </w14:solidFill>
          </w14:textFill>
        </w:rPr>
        <w:t>亿元，较</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十二五</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时期末增幅</w:t>
      </w:r>
      <w:r>
        <w:rPr>
          <w:rFonts w:hint="eastAsia" w:eastAsia="仿宋"/>
          <w:color w:val="000000" w:themeColor="text1"/>
          <w:sz w:val="28"/>
          <w:szCs w:val="28"/>
          <w14:textFill>
            <w14:solidFill>
              <w14:schemeClr w14:val="tx1"/>
            </w14:solidFill>
          </w14:textFill>
        </w:rPr>
        <w:t>63.3%</w:t>
      </w:r>
      <w:r>
        <w:rPr>
          <w:rFonts w:eastAsia="仿宋"/>
          <w:color w:val="000000" w:themeColor="text1"/>
          <w:sz w:val="28"/>
          <w:szCs w:val="28"/>
          <w14:textFill>
            <w14:solidFill>
              <w14:schemeClr w14:val="tx1"/>
            </w14:solidFill>
          </w14:textFill>
        </w:rPr>
        <w:t>；规上工业增加值达到</w:t>
      </w:r>
      <w:r>
        <w:rPr>
          <w:rFonts w:hint="eastAsia" w:eastAsia="仿宋"/>
          <w:color w:val="000000" w:themeColor="text1"/>
          <w:sz w:val="28"/>
          <w:szCs w:val="28"/>
          <w14:textFill>
            <w14:solidFill>
              <w14:schemeClr w14:val="tx1"/>
            </w14:solidFill>
          </w14:textFill>
        </w:rPr>
        <w:t>11.5</w:t>
      </w:r>
      <w:r>
        <w:rPr>
          <w:rFonts w:eastAsia="仿宋"/>
          <w:color w:val="000000" w:themeColor="text1"/>
          <w:sz w:val="28"/>
          <w:szCs w:val="28"/>
          <w14:textFill>
            <w14:solidFill>
              <w14:schemeClr w14:val="tx1"/>
            </w14:solidFill>
          </w14:textFill>
        </w:rPr>
        <w:t>亿元，增幅为</w:t>
      </w:r>
      <w:r>
        <w:rPr>
          <w:rFonts w:hint="eastAsia" w:eastAsia="仿宋"/>
          <w:color w:val="000000" w:themeColor="text1"/>
          <w:sz w:val="28"/>
          <w:szCs w:val="28"/>
          <w14:textFill>
            <w14:solidFill>
              <w14:schemeClr w14:val="tx1"/>
            </w14:solidFill>
          </w14:textFill>
        </w:rPr>
        <w:t>273.4</w:t>
      </w:r>
      <w:r>
        <w:rPr>
          <w:rFonts w:eastAsia="仿宋"/>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。目前，全县规上工业企业13户，</w:t>
      </w:r>
      <w:r>
        <w:rPr>
          <w:rFonts w:hint="eastAsia" w:ascii="仿宋" w:hAnsi="仿宋"/>
          <w:color w:val="000000" w:themeColor="text1"/>
          <w:sz w:val="28"/>
          <w:szCs w:val="28"/>
          <w14:textFill>
            <w14:solidFill>
              <w14:schemeClr w14:val="tx1"/>
            </w14:solidFill>
          </w14:textFill>
        </w:rPr>
        <w:t>其中矿山企业</w:t>
      </w:r>
      <w:r>
        <w:rPr>
          <w:color w:val="000000" w:themeColor="text1"/>
          <w:sz w:val="28"/>
          <w:szCs w:val="28"/>
          <w14:textFill>
            <w14:solidFill>
              <w14:schemeClr w14:val="tx1"/>
            </w14:solidFill>
          </w14:textFill>
        </w:rPr>
        <w:t>4户，非矿企业9</w:t>
      </w:r>
      <w:r>
        <w:rPr>
          <w:rFonts w:hint="eastAsia" w:ascii="仿宋" w:hAnsi="仿宋"/>
          <w:color w:val="000000" w:themeColor="text1"/>
          <w:sz w:val="28"/>
          <w:szCs w:val="28"/>
          <w14:textFill>
            <w14:solidFill>
              <w14:schemeClr w14:val="tx1"/>
            </w14:solidFill>
          </w14:textFill>
        </w:rPr>
        <w:t>户</w:t>
      </w:r>
      <w:r>
        <w:rPr>
          <w:rFonts w:hint="eastAsia" w:eastAsia="仿宋"/>
          <w:color w:val="000000" w:themeColor="text1"/>
          <w:sz w:val="28"/>
          <w:szCs w:val="28"/>
          <w14:textFill>
            <w14:solidFill>
              <w14:schemeClr w14:val="tx1"/>
            </w14:solidFill>
          </w14:textFill>
        </w:rPr>
        <w:t>。“十三五”期间，全县累计实现规模以上工业总产值83.9亿元，年均递增13%；累计实现规模以上工业增加值36.85亿元，年均递增39%。工业转型升级取得较大成效，预计到2020年，非</w:t>
      </w:r>
      <w:r>
        <w:rPr>
          <w:rFonts w:eastAsia="仿宋"/>
          <w:color w:val="000000" w:themeColor="text1"/>
          <w:sz w:val="28"/>
          <w:szCs w:val="28"/>
          <w14:textFill>
            <w14:solidFill>
              <w14:schemeClr w14:val="tx1"/>
            </w14:solidFill>
          </w14:textFill>
        </w:rPr>
        <w:t>矿产业在税收和财政收入中的比重</w:t>
      </w:r>
      <w:r>
        <w:rPr>
          <w:rFonts w:hint="eastAsia" w:eastAsia="仿宋"/>
          <w:color w:val="000000" w:themeColor="text1"/>
          <w:sz w:val="28"/>
          <w:szCs w:val="28"/>
          <w14:textFill>
            <w14:solidFill>
              <w14:schemeClr w14:val="tx1"/>
            </w14:solidFill>
          </w14:textFill>
        </w:rPr>
        <w:t>分别</w:t>
      </w:r>
      <w:r>
        <w:rPr>
          <w:rFonts w:eastAsia="仿宋"/>
          <w:color w:val="000000" w:themeColor="text1"/>
          <w:sz w:val="28"/>
          <w:szCs w:val="28"/>
          <w14:textFill>
            <w14:solidFill>
              <w14:schemeClr w14:val="tx1"/>
            </w14:solidFill>
          </w14:textFill>
        </w:rPr>
        <w:t>降至4</w:t>
      </w:r>
      <w:r>
        <w:rPr>
          <w:rFonts w:hint="eastAsia" w:eastAsia="仿宋"/>
          <w:color w:val="000000" w:themeColor="text1"/>
          <w:sz w:val="28"/>
          <w:szCs w:val="28"/>
          <w14:textFill>
            <w14:solidFill>
              <w14:schemeClr w14:val="tx1"/>
            </w14:solidFill>
          </w14:textFill>
        </w:rPr>
        <w:t>6</w:t>
      </w:r>
      <w:r>
        <w:rPr>
          <w:rFonts w:eastAsia="仿宋"/>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和38%</w:t>
      </w:r>
      <w:r>
        <w:rPr>
          <w:rFonts w:eastAsia="仿宋"/>
          <w:color w:val="000000" w:themeColor="text1"/>
          <w:sz w:val="28"/>
          <w:szCs w:val="28"/>
          <w14:textFill>
            <w14:solidFill>
              <w14:schemeClr w14:val="tx1"/>
            </w14:solidFill>
          </w14:textFill>
        </w:rPr>
        <w:t>，资源加工产业在工业中的比重</w:t>
      </w:r>
      <w:r>
        <w:rPr>
          <w:rFonts w:hint="eastAsia" w:eastAsia="仿宋"/>
          <w:color w:val="000000" w:themeColor="text1"/>
          <w:sz w:val="28"/>
          <w:szCs w:val="28"/>
          <w14:textFill>
            <w14:solidFill>
              <w14:schemeClr w14:val="tx1"/>
            </w14:solidFill>
          </w14:textFill>
        </w:rPr>
        <w:t>达到80.69%</w:t>
      </w:r>
      <w:r>
        <w:rPr>
          <w:rFonts w:eastAsia="仿宋"/>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 xml:space="preserve">全县大力实施项目推动战略，坚持把项目建设作为稳增长、促转型的重要抓手。“十三五”期间，我县制定下发《抚顺县飞地招商政策》《抚顺县关于加强“双招双引”工作意见》《抚顺县扩大开放促进投资若干政策（试行）》，成立3个招商分局，形成了“储备一批、签约一批、开工一批”的良好局面。以项目建设带动产业转型升级，重点引导矿山企业“由黑转绿”，鼓励发展井工开采、尾矿渣再利用等新工艺、新技术，石文毛公、峡河双兴等技改项目顺利实施，井工开采实现重点矿山全覆盖；助推铁矿采选业企稳回暖，傲牛铁矿超高品位铁精粉生产技术试验成功，居全国领先水平；培育木业产业新动能，成功引进中林集团原木贸易，浙江绿盛成品地板项目当年建设、当年投产；天和环保炭粉自动成型项目批量生产，集中烘干和集中供热作用愈加显现；木业税收征管方式改革卓有成效，企业管理逐步规范，以万众表板、宏林木门、东体运动地板为代表的木制品企业提质发展。同时，天舜环保工业用布、海浪防爆电器、新鑫达炉料等实体经济技改、扩能项目取得新进展。加快园区建设步伐，完成国家第三次国土调查、乡镇土地利用规划调整和救兵木业产业园、石文再生资源产业园发展规划编制，启动救兵木业产业园178.443亩土地收储工作，加快推进救兵木业产业结构调整，绿盛地板二期项目启动建设，东体运动地板、东奥运动地板入园项目取得新进展，达亨木业成品地板出口转内销业务不断扩大。石文再生资源产业园一期440.325亩土地已批复，二期268.167亩土地收储工作已启动，园区基础设施建设争取一期地债资金8000万元，辽宁博翔和辽宁洁丽环保项目签约落地，园区二期大宗固体废弃物综合利用基地项目进展顺利。完成石文镇区规划调整，有序推进海浪新兴工业园土地收储工作。 </w:t>
      </w:r>
    </w:p>
    <w:p>
      <w:pPr>
        <w:spacing w:line="360" w:lineRule="auto"/>
        <w:ind w:right="-52"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四、强化业态创新，第三产业不断壮大</w:t>
      </w:r>
    </w:p>
    <w:p>
      <w:pPr>
        <w:spacing w:line="360" w:lineRule="auto"/>
        <w:ind w:right="-52"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“十三五”时期，我县大力推进第三产业发展。现代服务业日趋活跃，电子商务业、现代物流业和商贸流通业迅速发展。电子商务进农村取得成效，线上交易企业达</w:t>
      </w:r>
      <w:r>
        <w:rPr>
          <w:rFonts w:eastAsia="仿宋"/>
          <w:color w:val="000000" w:themeColor="text1"/>
          <w:sz w:val="28"/>
          <w:szCs w:val="28"/>
          <w14:textFill>
            <w14:solidFill>
              <w14:schemeClr w14:val="tx1"/>
            </w14:solidFill>
          </w14:textFill>
        </w:rPr>
        <w:t>18</w:t>
      </w:r>
      <w:r>
        <w:rPr>
          <w:rFonts w:hint="eastAsia" w:ascii="仿宋" w:hAnsi="仿宋" w:eastAsia="仿宋"/>
          <w:color w:val="000000" w:themeColor="text1"/>
          <w:sz w:val="28"/>
          <w:szCs w:val="28"/>
          <w14:textFill>
            <w14:solidFill>
              <w14:schemeClr w14:val="tx1"/>
            </w14:solidFill>
          </w14:textFill>
        </w:rPr>
        <w:t>家。通过抚顺创赢电子商务有限公司自营平台，开创“电商+微商+实体店”销售模式，实现农产品线上统一销售，拓宽销售渠道，解决销售难的问题，促进农民增收增效。产品销售品种达</w:t>
      </w:r>
      <w:r>
        <w:rPr>
          <w:rFonts w:eastAsia="仿宋"/>
          <w:color w:val="000000" w:themeColor="text1"/>
          <w:sz w:val="28"/>
          <w:szCs w:val="28"/>
          <w14:textFill>
            <w14:solidFill>
              <w14:schemeClr w14:val="tx1"/>
            </w14:solidFill>
          </w14:textFill>
        </w:rPr>
        <w:t>30余个，销售额约</w:t>
      </w:r>
      <w:r>
        <w:rPr>
          <w:rFonts w:hint="eastAsia" w:eastAsia="仿宋"/>
          <w:color w:val="000000" w:themeColor="text1"/>
          <w:sz w:val="28"/>
          <w:szCs w:val="28"/>
          <w14:textFill>
            <w14:solidFill>
              <w14:schemeClr w14:val="tx1"/>
            </w14:solidFill>
          </w14:textFill>
        </w:rPr>
        <w:t>5</w:t>
      </w:r>
      <w:r>
        <w:rPr>
          <w:rFonts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万元，其中寒富苹果、单片黑木耳等是我县线上销售的明星产品。</w:t>
      </w:r>
    </w:p>
    <w:p>
      <w:pPr>
        <w:spacing w:line="360" w:lineRule="auto"/>
        <w:ind w:right="-52" w:firstLine="560" w:firstLineChars="200"/>
        <w:rPr>
          <w:rFonts w:ascii="仿宋" w:hAnsi="仿宋" w:eastAsia="仿宋"/>
          <w:color w:val="000000"/>
          <w:sz w:val="28"/>
          <w:szCs w:val="28"/>
        </w:rPr>
      </w:pPr>
      <w:r>
        <w:rPr>
          <w:rFonts w:hint="eastAsia" w:ascii="仿宋" w:hAnsi="仿宋" w:eastAsia="仿宋"/>
          <w:color w:val="000000"/>
          <w:sz w:val="28"/>
          <w:szCs w:val="28"/>
        </w:rPr>
        <w:t>全县大力发展现代物流业，建设辽宁三友农业有限公司农产品核心加工区、东北亚木材交易中心物流项目等；积极推动</w:t>
      </w:r>
      <w:r>
        <w:rPr>
          <w:rFonts w:hint="eastAsia" w:ascii="仿宋" w:hAnsi="仿宋" w:eastAsia="仿宋" w:cs="仿宋"/>
          <w:bCs/>
          <w:sz w:val="28"/>
          <w:szCs w:val="28"/>
        </w:rPr>
        <w:t>商贸物流业转型升级，成立抚顺县电子商务协会，</w:t>
      </w:r>
      <w:r>
        <w:rPr>
          <w:rFonts w:eastAsia="仿宋"/>
          <w:bCs/>
          <w:sz w:val="28"/>
          <w:szCs w:val="28"/>
        </w:rPr>
        <w:t>31</w:t>
      </w:r>
      <w:r>
        <w:rPr>
          <w:rFonts w:hint="eastAsia" w:ascii="仿宋" w:hAnsi="仿宋" w:eastAsia="仿宋" w:cs="仿宋"/>
          <w:bCs/>
          <w:sz w:val="28"/>
          <w:szCs w:val="28"/>
        </w:rPr>
        <w:t>家农商企业、农民专业合作社、家庭农场、基层供销社成为首批会员。</w:t>
      </w:r>
      <w:r>
        <w:rPr>
          <w:rFonts w:hint="eastAsia" w:ascii="仿宋" w:hAnsi="仿宋" w:eastAsia="仿宋"/>
          <w:color w:val="000000"/>
          <w:sz w:val="28"/>
          <w:szCs w:val="28"/>
        </w:rPr>
        <w:t>全面推进“互联网＋农业、社区门店、物流”发展，帮助易品鑫源购物广场，借助抚顺创赢电子商务公司的第三方平台，形成线上和线下的销售，拓宽企业产品销售渠道。</w:t>
      </w:r>
    </w:p>
    <w:p>
      <w:pPr>
        <w:spacing w:line="360" w:lineRule="auto"/>
        <w:ind w:right="-52"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以生态旅游为重点的服务业比重大幅度提高。“十三五”期间，全县累计接待游</w:t>
      </w:r>
      <w:r>
        <w:rPr>
          <w:rFonts w:eastAsia="仿宋"/>
          <w:color w:val="000000" w:themeColor="text1"/>
          <w:sz w:val="28"/>
          <w:szCs w:val="28"/>
          <w14:textFill>
            <w14:solidFill>
              <w14:schemeClr w14:val="tx1"/>
            </w14:solidFill>
          </w14:textFill>
        </w:rPr>
        <w:t>客250万人次，实现旅游综合收入5亿元。积极推进A级景区申报工作</w:t>
      </w:r>
      <w:r>
        <w:rPr>
          <w:rFonts w:hint="eastAsia" w:ascii="仿宋" w:hAnsi="仿宋" w:eastAsia="仿宋"/>
          <w:color w:val="000000" w:themeColor="text1"/>
          <w:sz w:val="28"/>
          <w:szCs w:val="28"/>
          <w14:textFill>
            <w14:solidFill>
              <w14:schemeClr w14:val="tx1"/>
            </w14:solidFill>
          </w14:textFill>
        </w:rPr>
        <w:t>，三块石国家森林公园、天女山景区成功晋升</w:t>
      </w:r>
      <w:r>
        <w:rPr>
          <w:rFonts w:eastAsia="仿宋"/>
          <w:color w:val="000000" w:themeColor="text1"/>
          <w:sz w:val="28"/>
          <w:szCs w:val="28"/>
          <w14:textFill>
            <w14:solidFill>
              <w14:schemeClr w14:val="tx1"/>
            </w14:solidFill>
          </w14:textFill>
        </w:rPr>
        <w:t>为国家4A级景区，沈抚县委旧址纪念馆、梨花谷景区成功晋升为国家3A级景区。东部旅游集聚区初具规模，西部观光采摘、乡村体验为核心的参与性乡村旅游度假产品也在不断发展。</w:t>
      </w:r>
      <w:r>
        <w:rPr>
          <w:rFonts w:hint="eastAsia" w:eastAsia="仿宋"/>
          <w:color w:val="000000" w:themeColor="text1"/>
          <w:sz w:val="28"/>
          <w:szCs w:val="28"/>
          <w14:textFill>
            <w14:solidFill>
              <w14:schemeClr w14:val="tx1"/>
            </w14:solidFill>
          </w14:textFill>
        </w:rPr>
        <w:t>旅游基础设施不断完善。启动《抚顺县全域旅游发展规划》修编提升工作。三块石公园南部景区完成九九天梯、小偏桥路线维修等工程；北部景区完成登峰石阶路和林荫路除险加固。社河湿地公园展馆、地质公园展馆已建成。柞蚕谷游客服务中心已完工。梨花谷景区实现公司化经营。“农业+旅游”取得实效，重点打造抚金线、通武线沿线产业带，通武线被列入抚顺市休闲农业精品旅游线路。</w:t>
      </w:r>
      <w:r>
        <w:rPr>
          <w:rFonts w:eastAsia="仿宋"/>
          <w:color w:val="000000" w:themeColor="text1"/>
          <w:sz w:val="28"/>
          <w:szCs w:val="28"/>
          <w14:textFill>
            <w14:solidFill>
              <w14:schemeClr w14:val="tx1"/>
            </w14:solidFill>
          </w14:textFill>
        </w:rPr>
        <w:t>旅游业知名度显著提升</w:t>
      </w:r>
      <w:r>
        <w:rPr>
          <w:rFonts w:hint="eastAsia"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三块石（国际）登山活动连续两年入选“中国体育旅游精品赛事”；我县</w:t>
      </w:r>
      <w:r>
        <w:rPr>
          <w:rFonts w:hint="eastAsia" w:eastAsia="仿宋"/>
          <w:color w:val="000000" w:themeColor="text1"/>
          <w:sz w:val="28"/>
          <w:szCs w:val="28"/>
          <w14:textFill>
            <w14:solidFill>
              <w14:schemeClr w14:val="tx1"/>
            </w14:solidFill>
          </w14:textFill>
        </w:rPr>
        <w:t>被授予“辽宁省乡村旅游贡献奖”、省级全域旅游示范区创建单位、中国健康小城提名县、中国生态旅游品牌县、</w:t>
      </w:r>
      <w:r>
        <w:rPr>
          <w:rFonts w:hint="eastAsia" w:ascii="仿宋" w:hAnsi="仿宋" w:eastAsia="仿宋"/>
          <w:color w:val="000000" w:themeColor="text1"/>
          <w:sz w:val="28"/>
          <w:szCs w:val="28"/>
          <w14:textFill>
            <w14:solidFill>
              <w14:schemeClr w14:val="tx1"/>
            </w14:solidFill>
          </w14:textFill>
        </w:rPr>
        <w:t>国家森林旅游示范县、</w:t>
      </w:r>
      <w:r>
        <w:rPr>
          <w:rFonts w:hint="eastAsia" w:eastAsia="仿宋"/>
          <w:color w:val="000000" w:themeColor="text1"/>
          <w:sz w:val="28"/>
          <w:szCs w:val="28"/>
          <w14:textFill>
            <w14:solidFill>
              <w14:schemeClr w14:val="tx1"/>
            </w14:solidFill>
          </w14:textFill>
        </w:rPr>
        <w:t>感动世界的中国旅游名县等荣誉称号。</w:t>
      </w:r>
    </w:p>
    <w:p>
      <w:pPr>
        <w:spacing w:line="360" w:lineRule="auto"/>
        <w:ind w:right="-52"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深入推进金融产业发展，积极谋划县农信社改制工作，有力防范化解金融风险，做到无非法集资案件发生；全面落实普惠金融各项政策，预计到2020年，全县各项普惠金融贷款额达3.21584亿元，创业担保贷款额达2.75794亿元，“惠农贷”贷款0.4579亿元；强化信用体系建设，设立10个信用村，发放信用贷款534万元。</w:t>
      </w:r>
    </w:p>
    <w:p>
      <w:pPr>
        <w:spacing w:line="360" w:lineRule="auto"/>
        <w:ind w:right="-52"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五、立足生态宜居，乡村振兴成效显著</w:t>
      </w:r>
    </w:p>
    <w:p>
      <w:pPr>
        <w:spacing w:line="360" w:lineRule="auto"/>
        <w:ind w:left="-113" w:leftChars="-54" w:right="-52" w:firstLine="560" w:firstLineChars="200"/>
        <w:rPr>
          <w:rFonts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“十三五”期间，全县上下围绕县域总体规划，以生态宜居为引领，大力推进乡村振兴战略，</w:t>
      </w:r>
      <w:r>
        <w:rPr>
          <w:rFonts w:hint="eastAsia" w:eastAsia="仿宋"/>
          <w:color w:val="000000" w:themeColor="text1"/>
          <w:sz w:val="28"/>
          <w:szCs w:val="28"/>
          <w14:textFill>
            <w14:solidFill>
              <w14:schemeClr w14:val="tx1"/>
            </w14:solidFill>
          </w14:textFill>
        </w:rPr>
        <w:t>坚持把提升农民生活水平、改善农村人居环境、加强农村基础设施建设作为乡村建设的</w:t>
      </w:r>
      <w:r>
        <w:rPr>
          <w:rFonts w:eastAsia="仿宋"/>
          <w:color w:val="000000" w:themeColor="text1"/>
          <w:sz w:val="28"/>
          <w:szCs w:val="28"/>
          <w14:textFill>
            <w14:solidFill>
              <w14:schemeClr w14:val="tx1"/>
            </w14:solidFill>
          </w14:textFill>
        </w:rPr>
        <w:t>重要内容，完成</w:t>
      </w:r>
      <w:r>
        <w:rPr>
          <w:rFonts w:hint="eastAsia" w:eastAsia="仿宋"/>
          <w:color w:val="000000" w:themeColor="text1"/>
          <w:sz w:val="28"/>
          <w:szCs w:val="28"/>
          <w14:textFill>
            <w14:solidFill>
              <w14:schemeClr w14:val="tx1"/>
            </w14:solidFill>
          </w14:textFill>
        </w:rPr>
        <w:t>三块石、四家子、佟庄子、前安、金斗、小东、眼望、毛公、八家子、松树</w:t>
      </w:r>
      <w:r>
        <w:rPr>
          <w:rFonts w:eastAsia="仿宋"/>
          <w:color w:val="000000" w:themeColor="text1"/>
          <w:sz w:val="28"/>
          <w:szCs w:val="28"/>
          <w14:textFill>
            <w14:solidFill>
              <w14:schemeClr w14:val="tx1"/>
            </w14:solidFill>
          </w14:textFill>
        </w:rPr>
        <w:t>10个美丽示范村建设。</w:t>
      </w:r>
      <w:r>
        <w:rPr>
          <w:rFonts w:hint="eastAsia" w:eastAsia="仿宋"/>
          <w:color w:val="000000" w:themeColor="text1"/>
          <w:sz w:val="28"/>
          <w:szCs w:val="28"/>
          <w14:textFill>
            <w14:solidFill>
              <w14:schemeClr w14:val="tx1"/>
            </w14:solidFill>
          </w14:textFill>
        </w:rPr>
        <w:t>农村危房改造大规模推进。“十三五”期间，我县统筹各乡镇农村危房改造进度，着力解决农村低保户、五保户、残疾人户、建档立客户“四类”人员危房问题，完成农村危房改造合计280户。</w:t>
      </w:r>
      <w:r>
        <w:rPr>
          <w:rFonts w:eastAsia="仿宋"/>
          <w:color w:val="000000" w:themeColor="text1"/>
          <w:sz w:val="28"/>
          <w:szCs w:val="28"/>
          <w14:textFill>
            <w14:solidFill>
              <w14:schemeClr w14:val="tx1"/>
            </w14:solidFill>
          </w14:textFill>
        </w:rPr>
        <w:t>努力提升</w:t>
      </w:r>
      <w:r>
        <w:rPr>
          <w:rFonts w:eastAsia="仿宋"/>
          <w:bCs/>
          <w:color w:val="000000" w:themeColor="text1"/>
          <w:sz w:val="28"/>
          <w:szCs w:val="28"/>
          <w14:textFill>
            <w14:solidFill>
              <w14:schemeClr w14:val="tx1"/>
            </w14:solidFill>
          </w14:textFill>
        </w:rPr>
        <w:t>农村生活质量水平，预计到2020年，</w:t>
      </w:r>
      <w:r>
        <w:rPr>
          <w:rFonts w:eastAsia="仿宋"/>
          <w:color w:val="000000" w:themeColor="text1"/>
          <w:sz w:val="28"/>
          <w:szCs w:val="28"/>
          <w14:textFill>
            <w14:solidFill>
              <w14:schemeClr w14:val="tx1"/>
            </w14:solidFill>
          </w14:textFill>
        </w:rPr>
        <w:t>农村人口平均期望寿命达到77.3岁，农村人均标准住宅使用面积达到62平米</w:t>
      </w:r>
      <w:r>
        <w:rPr>
          <w:rFonts w:hint="eastAsia" w:eastAsia="仿宋"/>
          <w:color w:val="000000" w:themeColor="text1"/>
          <w:sz w:val="28"/>
          <w:szCs w:val="28"/>
          <w14:textFill>
            <w14:solidFill>
              <w14:schemeClr w14:val="tx1"/>
            </w14:solidFill>
          </w14:textFill>
        </w:rPr>
        <w:t>，农民生活信息化程度普及率突破90%。</w:t>
      </w:r>
    </w:p>
    <w:p>
      <w:pPr>
        <w:pStyle w:val="2"/>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大力推进人居环境治理。</w:t>
      </w:r>
      <w:r>
        <w:rPr>
          <w:rFonts w:eastAsia="仿宋"/>
          <w:color w:val="000000" w:themeColor="text1"/>
          <w:sz w:val="28"/>
          <w:szCs w:val="28"/>
          <w14:textFill>
            <w14:solidFill>
              <w14:schemeClr w14:val="tx1"/>
            </w14:solidFill>
          </w14:textFill>
        </w:rPr>
        <w:t>全县坚持规划先行，按照</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多规合一</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要求完成全县村庄体系规划编制工作</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编制完成县域村庄规划体系，实现85%行政村庄拥有建设规划，引导环境整治工作</w:t>
      </w:r>
      <w:r>
        <w:rPr>
          <w:rFonts w:hint="eastAsia" w:eastAsia="仿宋"/>
          <w:color w:val="000000" w:themeColor="text1"/>
          <w:sz w:val="28"/>
          <w:szCs w:val="28"/>
          <w14:textFill>
            <w14:solidFill>
              <w14:schemeClr w14:val="tx1"/>
            </w14:solidFill>
          </w14:textFill>
        </w:rPr>
        <w:t>。“十三五”期间，全县</w:t>
      </w:r>
      <w:r>
        <w:rPr>
          <w:rFonts w:eastAsia="仿宋"/>
          <w:color w:val="000000" w:themeColor="text1"/>
          <w:sz w:val="28"/>
          <w:szCs w:val="28"/>
          <w14:textFill>
            <w14:solidFill>
              <w14:schemeClr w14:val="tx1"/>
            </w14:solidFill>
          </w14:textFill>
        </w:rPr>
        <w:t>建立健全</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户分类</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村收集</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乡镇运输</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县处理</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的</w:t>
      </w:r>
      <w:r>
        <w:rPr>
          <w:rFonts w:hint="eastAsia" w:eastAsia="仿宋"/>
          <w:color w:val="000000" w:themeColor="text1"/>
          <w:sz w:val="28"/>
          <w:szCs w:val="28"/>
          <w14:textFill>
            <w14:solidFill>
              <w14:schemeClr w14:val="tx1"/>
            </w14:solidFill>
          </w14:textFill>
        </w:rPr>
        <w:t>农村生活</w:t>
      </w:r>
      <w:r>
        <w:rPr>
          <w:rFonts w:eastAsia="仿宋"/>
          <w:color w:val="000000" w:themeColor="text1"/>
          <w:sz w:val="28"/>
          <w:szCs w:val="28"/>
          <w14:textFill>
            <w14:solidFill>
              <w14:schemeClr w14:val="tx1"/>
            </w14:solidFill>
          </w14:textFill>
        </w:rPr>
        <w:t>垃圾</w:t>
      </w:r>
      <w:r>
        <w:rPr>
          <w:rFonts w:hint="eastAsia" w:eastAsia="仿宋"/>
          <w:color w:val="000000" w:themeColor="text1"/>
          <w:sz w:val="28"/>
          <w:szCs w:val="28"/>
          <w14:textFill>
            <w14:solidFill>
              <w14:schemeClr w14:val="tx1"/>
            </w14:solidFill>
          </w14:textFill>
        </w:rPr>
        <w:t>分类收运处置体系</w:t>
      </w:r>
      <w:r>
        <w:rPr>
          <w:rFonts w:eastAsia="仿宋"/>
          <w:color w:val="000000" w:themeColor="text1"/>
          <w:sz w:val="28"/>
          <w:szCs w:val="28"/>
          <w14:textFill>
            <w14:solidFill>
              <w14:schemeClr w14:val="tx1"/>
            </w14:solidFill>
          </w14:textFill>
        </w:rPr>
        <w:t>。2018年，我县</w:t>
      </w:r>
      <w:r>
        <w:rPr>
          <w:rFonts w:hint="eastAsia" w:eastAsia="仿宋"/>
          <w:color w:val="000000" w:themeColor="text1"/>
          <w:sz w:val="28"/>
          <w:szCs w:val="28"/>
          <w14:textFill>
            <w14:solidFill>
              <w14:schemeClr w14:val="tx1"/>
            </w14:solidFill>
          </w14:textFill>
        </w:rPr>
        <w:t>实行了农村生活垃圾分类减量试点工作，2019年我县农村生活垃圾分类减量处置体系已全覆盖，垃圾治理工作取得了明显成效。</w:t>
      </w:r>
      <w:r>
        <w:rPr>
          <w:rFonts w:eastAsia="仿宋"/>
          <w:color w:val="000000" w:themeColor="text1"/>
          <w:sz w:val="28"/>
          <w:szCs w:val="28"/>
          <w14:textFill>
            <w14:solidFill>
              <w14:schemeClr w14:val="tx1"/>
            </w14:solidFill>
          </w14:textFill>
        </w:rPr>
        <w:t>全县农厕无害化厕所基本得到普及，全县共建设无害化卫生厕所</w:t>
      </w:r>
      <w:r>
        <w:rPr>
          <w:rFonts w:hint="eastAsia" w:eastAsia="仿宋"/>
          <w:color w:val="000000" w:themeColor="text1"/>
          <w:sz w:val="28"/>
          <w:szCs w:val="28"/>
          <w14:textFill>
            <w14:solidFill>
              <w14:schemeClr w14:val="tx1"/>
            </w14:solidFill>
          </w14:textFill>
        </w:rPr>
        <w:t>8743</w:t>
      </w:r>
      <w:r>
        <w:rPr>
          <w:rFonts w:eastAsia="仿宋"/>
          <w:color w:val="000000" w:themeColor="text1"/>
          <w:sz w:val="28"/>
          <w:szCs w:val="28"/>
          <w14:textFill>
            <w14:solidFill>
              <w14:schemeClr w14:val="tx1"/>
            </w14:solidFill>
          </w14:textFill>
        </w:rPr>
        <w:t>余座。农村水源安全得到基本保证。全县95个行政村自来水</w:t>
      </w:r>
      <w:r>
        <w:rPr>
          <w:rFonts w:hint="eastAsia" w:eastAsia="仿宋"/>
          <w:color w:val="000000" w:themeColor="text1"/>
          <w:sz w:val="28"/>
          <w:szCs w:val="28"/>
          <w14:textFill>
            <w14:solidFill>
              <w14:schemeClr w14:val="tx1"/>
            </w14:solidFill>
          </w14:textFill>
        </w:rPr>
        <w:t>普及率达91%</w:t>
      </w:r>
      <w:r>
        <w:rPr>
          <w:rFonts w:eastAsia="仿宋"/>
          <w:color w:val="000000" w:themeColor="text1"/>
          <w:sz w:val="28"/>
          <w:szCs w:val="28"/>
          <w14:textFill>
            <w14:solidFill>
              <w14:schemeClr w14:val="tx1"/>
            </w14:solidFill>
          </w14:textFill>
        </w:rPr>
        <w:t>，先后解决了10.1万人饮水安全问题。全县生态环境得到进一步改善。预计到2020年，森林覆盖率达到70.</w:t>
      </w:r>
      <w:r>
        <w:rPr>
          <w:rFonts w:hint="eastAsia" w:eastAsia="仿宋"/>
          <w:color w:val="000000" w:themeColor="text1"/>
          <w:sz w:val="28"/>
          <w:szCs w:val="28"/>
          <w14:textFill>
            <w14:solidFill>
              <w14:schemeClr w14:val="tx1"/>
            </w14:solidFill>
          </w14:textFill>
        </w:rPr>
        <w:t>18</w:t>
      </w:r>
      <w:r>
        <w:rPr>
          <w:rFonts w:eastAsia="仿宋"/>
          <w:color w:val="000000" w:themeColor="text1"/>
          <w:sz w:val="28"/>
          <w:szCs w:val="28"/>
          <w14:textFill>
            <w14:solidFill>
              <w14:schemeClr w14:val="tx1"/>
            </w14:solidFill>
          </w14:textFill>
        </w:rPr>
        <w:t>%，农村面源污染得到有效控制和治理，县域环境质量达到国家功能区标准，节能减排达到行业规划目标。</w:t>
      </w:r>
    </w:p>
    <w:p>
      <w:pPr>
        <w:spacing w:line="360" w:lineRule="auto"/>
        <w:ind w:left="-113" w:leftChars="-54" w:right="-52" w:firstLine="560" w:firstLineChars="200"/>
        <w:rPr>
          <w:rFonts w:ascii="仿宋" w:hAnsi="仿宋" w:eastAsia="仿宋"/>
          <w:bCs/>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加强农村基础设施建设，农村道路网络建设基本完成。“十三五”以来，全县共投入公路建设资金6.4亿元，其中，国家及省市投资4.6亿元，县本级投入资金 1.8亿元。目前，全县高速公路1条、32.5公里，国省干线4条、145.7公里，农村公路达310条、980.7公里，基本形成了国省干线为骨架、县道为支线、乡村路为脉络的“一横五纵”比较完善的公路网络体系，全县95个行政村硬化路率达100%，且全部村、屯的街道、巷道全部实现硬化，县、乡公路隐患路段和重要村级公路隐患路段治理得到了有效治理。全县乡级以上公路全部按照设计标准做到了标志、标线、指示标牌规范健全。2017年被命名为辽宁省首批“四好农村路”示范县；2018年被交通运输部、农业农村部、国务院扶贫办联合授予全国“四好农村路”示范县荣誉称号。</w:t>
      </w:r>
      <w:r>
        <w:rPr>
          <w:rFonts w:eastAsia="仿宋"/>
          <w:bCs/>
          <w:color w:val="000000" w:themeColor="text1"/>
          <w:sz w:val="28"/>
          <w:szCs w:val="28"/>
          <w14:textFill>
            <w14:solidFill>
              <w14:schemeClr w14:val="tx1"/>
            </w14:solidFill>
          </w14:textFill>
        </w:rPr>
        <w:t>安装</w:t>
      </w:r>
      <w:r>
        <w:rPr>
          <w:rFonts w:hint="eastAsia" w:ascii="仿宋" w:hAnsi="仿宋" w:eastAsia="仿宋"/>
          <w:bCs/>
          <w:color w:val="000000" w:themeColor="text1"/>
          <w:sz w:val="28"/>
          <w:szCs w:val="28"/>
          <w14:textFill>
            <w14:solidFill>
              <w14:schemeClr w14:val="tx1"/>
            </w14:solidFill>
          </w14:textFill>
        </w:rPr>
        <w:t>路</w:t>
      </w:r>
      <w:r>
        <w:rPr>
          <w:rFonts w:eastAsia="仿宋"/>
          <w:bCs/>
          <w:color w:val="000000" w:themeColor="text1"/>
          <w:sz w:val="28"/>
          <w:szCs w:val="28"/>
          <w14:textFill>
            <w14:solidFill>
              <w14:schemeClr w14:val="tx1"/>
            </w14:solidFill>
          </w14:textFill>
        </w:rPr>
        <w:t>灯571</w:t>
      </w:r>
      <w:r>
        <w:rPr>
          <w:rFonts w:hint="eastAsia" w:ascii="仿宋" w:hAnsi="仿宋" w:eastAsia="仿宋"/>
          <w:bCs/>
          <w:color w:val="000000" w:themeColor="text1"/>
          <w:sz w:val="28"/>
          <w:szCs w:val="28"/>
          <w14:textFill>
            <w14:solidFill>
              <w14:schemeClr w14:val="tx1"/>
            </w14:solidFill>
          </w14:textFill>
        </w:rPr>
        <w:t>盏，曾被授予全省亮化工程示范县。推进我县热电发展，建立了可再生能源、清洁能源等多元化供热模式，预计到2020年底，各乡镇供热面积达到</w:t>
      </w:r>
      <w:r>
        <w:rPr>
          <w:rFonts w:eastAsia="仿宋"/>
          <w:bCs/>
          <w:color w:val="000000" w:themeColor="text1"/>
          <w:sz w:val="28"/>
          <w:szCs w:val="28"/>
          <w14:textFill>
            <w14:solidFill>
              <w14:schemeClr w14:val="tx1"/>
            </w14:solidFill>
          </w14:textFill>
        </w:rPr>
        <w:t>157.6</w:t>
      </w:r>
      <w:r>
        <w:rPr>
          <w:rFonts w:hint="eastAsia" w:ascii="仿宋" w:hAnsi="仿宋" w:eastAsia="仿宋"/>
          <w:bCs/>
          <w:color w:val="000000" w:themeColor="text1"/>
          <w:sz w:val="28"/>
          <w:szCs w:val="28"/>
          <w14:textFill>
            <w14:solidFill>
              <w14:schemeClr w14:val="tx1"/>
            </w14:solidFill>
          </w14:textFill>
        </w:rPr>
        <w:t>万平方米，供热普及率达70%。</w:t>
      </w:r>
    </w:p>
    <w:p>
      <w:pPr>
        <w:spacing w:line="360" w:lineRule="auto"/>
        <w:ind w:right="-52"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六、突出以人为本，民生事业蓬勃发展</w:t>
      </w:r>
    </w:p>
    <w:p>
      <w:pPr>
        <w:pStyle w:val="2"/>
        <w:ind w:firstLine="560" w:firstLineChars="200"/>
        <w:rPr>
          <w:rFonts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“十三五”期间，全县大力推进民生改善工程，</w:t>
      </w:r>
      <w:bookmarkStart w:id="15" w:name="_Hlk51616569"/>
      <w:r>
        <w:rPr>
          <w:rFonts w:hint="eastAsia" w:ascii="仿宋" w:hAnsi="仿宋" w:eastAsia="仿宋"/>
          <w:bCs/>
          <w:color w:val="000000" w:themeColor="text1"/>
          <w:sz w:val="28"/>
          <w:szCs w:val="28"/>
          <w14:textFill>
            <w14:solidFill>
              <w14:schemeClr w14:val="tx1"/>
            </w14:solidFill>
          </w14:textFill>
        </w:rPr>
        <w:t>全民素质和社会文明程度显著提高。</w:t>
      </w:r>
      <w:bookmarkEnd w:id="15"/>
      <w:r>
        <w:rPr>
          <w:rFonts w:hint="eastAsia" w:eastAsia="仿宋"/>
          <w:color w:val="000000" w:themeColor="text1"/>
          <w:sz w:val="28"/>
          <w:szCs w:val="28"/>
          <w14:textFill>
            <w14:solidFill>
              <w14:schemeClr w14:val="tx1"/>
            </w14:solidFill>
          </w14:textFill>
        </w:rPr>
        <w:t>各项民生事业蓬勃发展，社会建设和管理水平持续提升，社会大局和谐稳定良好局面得到进一步巩固。</w:t>
      </w:r>
    </w:p>
    <w:p>
      <w:pPr>
        <w:pStyle w:val="2"/>
        <w:ind w:firstLine="560" w:firstLineChars="200"/>
        <w:rPr>
          <w:rFonts w:ascii="仿宋" w:hAnsi="仿宋"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w:t>
      </w:r>
      <w:r>
        <w:rPr>
          <w:rFonts w:eastAsia="仿宋"/>
          <w:b/>
          <w:bCs/>
          <w:color w:val="000000" w:themeColor="text1"/>
          <w:sz w:val="28"/>
          <w:szCs w:val="28"/>
          <w14:textFill>
            <w14:solidFill>
              <w14:schemeClr w14:val="tx1"/>
            </w14:solidFill>
          </w14:textFill>
        </w:rPr>
        <w:t>教育</w:t>
      </w:r>
      <w:r>
        <w:rPr>
          <w:rFonts w:hint="eastAsia" w:eastAsia="仿宋"/>
          <w:b/>
          <w:bCs/>
          <w:color w:val="000000" w:themeColor="text1"/>
          <w:sz w:val="28"/>
          <w:szCs w:val="28"/>
          <w14:textFill>
            <w14:solidFill>
              <w14:schemeClr w14:val="tx1"/>
            </w14:solidFill>
          </w14:textFill>
        </w:rPr>
        <w:t>发展。</w:t>
      </w:r>
      <w:r>
        <w:rPr>
          <w:rFonts w:eastAsia="仿宋"/>
          <w:color w:val="000000" w:themeColor="text1"/>
          <w:sz w:val="28"/>
          <w:szCs w:val="28"/>
          <w14:textFill>
            <w14:solidFill>
              <w14:schemeClr w14:val="tx1"/>
            </w14:solidFill>
          </w14:textFill>
        </w:rPr>
        <w:t>2016年顺利通过国家</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义务教育发展基本均衡县</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验收，迈入全国义务教育基本均衡县行列，全县教育系统义务教育巩固率达100%。</w:t>
      </w:r>
      <w:r>
        <w:rPr>
          <w:rFonts w:hint="eastAsia" w:eastAsia="仿宋"/>
          <w:color w:val="000000" w:themeColor="text1"/>
          <w:sz w:val="28"/>
          <w:szCs w:val="28"/>
          <w14:textFill>
            <w14:solidFill>
              <w14:schemeClr w14:val="tx1"/>
            </w14:solidFill>
          </w14:textFill>
        </w:rPr>
        <w:t>我县</w:t>
      </w:r>
      <w:r>
        <w:rPr>
          <w:rFonts w:hint="eastAsia" w:ascii="仿宋" w:hAnsi="仿宋" w:eastAsia="仿宋"/>
          <w:color w:val="000000" w:themeColor="text1"/>
          <w:sz w:val="28"/>
          <w:szCs w:val="28"/>
          <w14:textFill>
            <w14:solidFill>
              <w14:schemeClr w14:val="tx1"/>
            </w14:solidFill>
          </w14:textFill>
        </w:rPr>
        <w:t>办学条件不断改善，“十三五”期间全县投</w:t>
      </w:r>
      <w:r>
        <w:rPr>
          <w:rFonts w:eastAsia="仿宋"/>
          <w:color w:val="000000" w:themeColor="text1"/>
          <w:sz w:val="28"/>
          <w:szCs w:val="28"/>
          <w14:textFill>
            <w14:solidFill>
              <w14:schemeClr w14:val="tx1"/>
            </w14:solidFill>
          </w14:textFill>
        </w:rPr>
        <w:t>入1亿余元用于学校校舍建设改造、操场硬化和设备购置等。</w:t>
      </w:r>
      <w:r>
        <w:rPr>
          <w:rFonts w:hint="eastAsia" w:eastAsia="仿宋"/>
          <w:color w:val="000000" w:themeColor="text1"/>
          <w:sz w:val="28"/>
          <w:szCs w:val="28"/>
          <w14:textFill>
            <w14:solidFill>
              <w14:schemeClr w14:val="tx1"/>
            </w14:solidFill>
          </w14:textFill>
        </w:rPr>
        <w:t>教育资助政策实现全覆盖，2019年秋季学期在辽宁省率先实行高中“两免”政策，自2020年秋季学期开始，对学前教育公办幼儿园孩子实施托费减半，为义务教育阶段的学生免费提供校服。</w:t>
      </w:r>
      <w:r>
        <w:rPr>
          <w:rFonts w:eastAsia="仿宋"/>
          <w:color w:val="000000" w:themeColor="text1"/>
          <w:sz w:val="28"/>
          <w:szCs w:val="28"/>
          <w14:textFill>
            <w14:solidFill>
              <w14:schemeClr w14:val="tx1"/>
            </w14:solidFill>
          </w14:textFill>
        </w:rPr>
        <w:t>教育信息化水平进一步提高，实现全县所有中小学校宽带网络100M以上，教育装备投入1100余万元。</w:t>
      </w:r>
      <w:r>
        <w:rPr>
          <w:rFonts w:hint="eastAsia" w:ascii="仿宋" w:hAnsi="仿宋" w:eastAsia="仿宋"/>
          <w:color w:val="000000" w:themeColor="text1"/>
          <w:sz w:val="28"/>
          <w:szCs w:val="28"/>
          <w14:textFill>
            <w14:solidFill>
              <w14:schemeClr w14:val="tx1"/>
            </w14:solidFill>
          </w14:textFill>
        </w:rPr>
        <w:t>教育资助政策全覆盖，建立从学前到高中多层次的建档立卡家庭经济困难学生资助体系，实现建档立卡家庭经济困难学生资助全覆盖。</w:t>
      </w:r>
    </w:p>
    <w:p>
      <w:pPr>
        <w:pStyle w:val="2"/>
        <w:ind w:firstLine="560" w:firstLineChars="200"/>
        <w:rPr>
          <w:rFonts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科技发展</w:t>
      </w:r>
      <w:bookmarkStart w:id="16" w:name="_Hlk51617128"/>
      <w:r>
        <w:rPr>
          <w:rFonts w:hint="eastAsia" w:ascii="仿宋" w:hAnsi="仿宋" w:eastAsia="仿宋"/>
          <w:b/>
          <w:bCs/>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“十三五”期间，全县积极推进科技园区建设，成立全市唯一一家省级农业科技园区-抚顺（县）省农业科技园区。努力搭建各类项目平台，申报科技型中小企业6家，高新技术企业3家，申报省重点研发项目</w:t>
      </w:r>
      <w:r>
        <w:rPr>
          <w:rFonts w:eastAsia="仿宋"/>
          <w:color w:val="000000" w:themeColor="text1"/>
          <w:sz w:val="28"/>
          <w:szCs w:val="28"/>
          <w14:textFill>
            <w14:solidFill>
              <w14:schemeClr w14:val="tx1"/>
            </w14:solidFill>
          </w14:textFill>
        </w:rPr>
        <w:t>2家，市级科技立项3家，星创天地和众创空间2家，申报省重点研发计划项目5项，申报科技创新网企业1家，企业创新资金项目2项，为企业向上争取科技资金支持230万元。切实发挥科技特派作用，由科技特派员牵头实施科技开发项目有8项，成立了专业合作社和公司48家，年创产值2亿元以上。持续</w:t>
      </w:r>
      <w:r>
        <w:rPr>
          <w:rFonts w:hint="eastAsia" w:eastAsia="仿宋"/>
          <w:color w:val="000000" w:themeColor="text1"/>
          <w:sz w:val="28"/>
          <w:szCs w:val="28"/>
          <w14:textFill>
            <w14:solidFill>
              <w14:schemeClr w14:val="tx1"/>
            </w14:solidFill>
          </w14:textFill>
        </w:rPr>
        <w:t>增强科技服务能力，建立科普志愿者服务队，开展科技宣传活动。大力开展“送农民上大学”工程，累计组织农民上大学工程4期，选送5名县内企业家参加辽宁省企业级高级研修班进修。选送104名新型农民赴院校培训。</w:t>
      </w:r>
      <w:bookmarkEnd w:id="16"/>
    </w:p>
    <w:p>
      <w:pPr>
        <w:pStyle w:val="2"/>
        <w:ind w:firstLine="560" w:firstLineChars="200"/>
        <w:rPr>
          <w:rFonts w:ascii="仿宋" w:hAnsi="仿宋"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社会保障。</w:t>
      </w:r>
      <w:r>
        <w:rPr>
          <w:rFonts w:hint="eastAsia" w:ascii="仿宋" w:hAnsi="仿宋" w:eastAsia="仿宋"/>
          <w:color w:val="000000" w:themeColor="text1"/>
          <w:sz w:val="28"/>
          <w:szCs w:val="28"/>
          <w14:textFill>
            <w14:solidFill>
              <w14:schemeClr w14:val="tx1"/>
            </w14:solidFill>
          </w14:textFill>
        </w:rPr>
        <w:t>“十三五”以来，扎实推进社会化管理服务工作，截止</w:t>
      </w:r>
      <w:r>
        <w:rPr>
          <w:rFonts w:eastAsia="仿宋"/>
          <w:color w:val="000000" w:themeColor="text1"/>
          <w:sz w:val="28"/>
          <w:szCs w:val="28"/>
          <w14:textFill>
            <w14:solidFill>
              <w14:schemeClr w14:val="tx1"/>
            </w14:solidFill>
          </w14:textFill>
        </w:rPr>
        <w:t>2020年，抚顺县城乡居民养老保险参保人数为69</w:t>
      </w:r>
      <w:r>
        <w:rPr>
          <w:rFonts w:hint="eastAsia" w:eastAsia="仿宋"/>
          <w:color w:val="000000" w:themeColor="text1"/>
          <w:sz w:val="28"/>
          <w:szCs w:val="28"/>
          <w14:textFill>
            <w14:solidFill>
              <w14:schemeClr w14:val="tx1"/>
            </w14:solidFill>
          </w14:textFill>
        </w:rPr>
        <w:t>457</w:t>
      </w:r>
      <w:r>
        <w:rPr>
          <w:rFonts w:eastAsia="仿宋"/>
          <w:color w:val="000000" w:themeColor="text1"/>
          <w:sz w:val="28"/>
          <w:szCs w:val="28"/>
          <w14:textFill>
            <w14:solidFill>
              <w14:schemeClr w14:val="tx1"/>
            </w14:solidFill>
          </w14:textFill>
        </w:rPr>
        <w:t>人，其中新参保</w:t>
      </w:r>
      <w:r>
        <w:rPr>
          <w:rFonts w:hint="eastAsia" w:eastAsia="仿宋"/>
          <w:color w:val="000000" w:themeColor="text1"/>
          <w:sz w:val="28"/>
          <w:szCs w:val="28"/>
          <w14:textFill>
            <w14:solidFill>
              <w14:schemeClr w14:val="tx1"/>
            </w14:solidFill>
          </w14:textFill>
        </w:rPr>
        <w:t>892（1月-9月）</w:t>
      </w:r>
      <w:r>
        <w:rPr>
          <w:rFonts w:eastAsia="仿宋"/>
          <w:color w:val="000000" w:themeColor="text1"/>
          <w:sz w:val="28"/>
          <w:szCs w:val="28"/>
          <w14:textFill>
            <w14:solidFill>
              <w14:schemeClr w14:val="tx1"/>
            </w14:solidFill>
          </w14:textFill>
        </w:rPr>
        <w:t>人，参保率达到98%。养老金收缴金额</w:t>
      </w:r>
      <w:r>
        <w:rPr>
          <w:rFonts w:hint="eastAsia" w:eastAsia="仿宋"/>
          <w:color w:val="000000" w:themeColor="text1"/>
          <w:sz w:val="28"/>
          <w:szCs w:val="28"/>
          <w14:textFill>
            <w14:solidFill>
              <w14:schemeClr w14:val="tx1"/>
            </w14:solidFill>
          </w14:textFill>
        </w:rPr>
        <w:t>到达5951</w:t>
      </w:r>
      <w:r>
        <w:rPr>
          <w:rFonts w:eastAsia="仿宋"/>
          <w:color w:val="000000" w:themeColor="text1"/>
          <w:sz w:val="28"/>
          <w:szCs w:val="28"/>
          <w14:textFill>
            <w14:solidFill>
              <w14:schemeClr w14:val="tx1"/>
            </w14:solidFill>
          </w14:textFill>
        </w:rPr>
        <w:t>万元。扎实推进社会化管理服务工作，进一步扩大就业发展，城镇登记失业率控制在</w:t>
      </w:r>
      <w:r>
        <w:rPr>
          <w:rFonts w:hint="eastAsia" w:eastAsia="仿宋"/>
          <w:color w:val="000000" w:themeColor="text1"/>
          <w:sz w:val="28"/>
          <w:szCs w:val="28"/>
          <w14:textFill>
            <w14:solidFill>
              <w14:schemeClr w14:val="tx1"/>
            </w14:solidFill>
          </w14:textFill>
        </w:rPr>
        <w:t>5</w:t>
      </w:r>
      <w:r>
        <w:rPr>
          <w:rFonts w:eastAsia="仿宋"/>
          <w:color w:val="000000" w:themeColor="text1"/>
          <w:sz w:val="28"/>
          <w:szCs w:val="28"/>
          <w14:textFill>
            <w14:solidFill>
              <w14:schemeClr w14:val="tx1"/>
            </w14:solidFill>
          </w14:textFill>
        </w:rPr>
        <w:t>%以内；进一步完善社会救助体系，建立养老服务体系。</w:t>
      </w:r>
    </w:p>
    <w:p>
      <w:pPr>
        <w:pStyle w:val="2"/>
        <w:ind w:firstLine="560" w:firstLineChars="200"/>
        <w:rPr>
          <w:rFonts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医疗卫生。</w:t>
      </w:r>
      <w:r>
        <w:rPr>
          <w:rFonts w:hint="eastAsia" w:ascii="仿宋" w:hAnsi="仿宋" w:eastAsia="仿宋"/>
          <w:color w:val="000000" w:themeColor="text1"/>
          <w:sz w:val="28"/>
          <w:szCs w:val="28"/>
          <w14:textFill>
            <w14:solidFill>
              <w14:schemeClr w14:val="tx1"/>
            </w14:solidFill>
          </w14:textFill>
        </w:rPr>
        <w:t>“十三五”以来，抚顺县中医院致力于中医药服务能力和特色专科建设，累积收到项目资金</w:t>
      </w:r>
      <w:r>
        <w:rPr>
          <w:rFonts w:hint="eastAsia" w:eastAsia="仿宋"/>
          <w:color w:val="000000" w:themeColor="text1"/>
          <w:sz w:val="28"/>
          <w:szCs w:val="28"/>
          <w14:textFill>
            <w14:solidFill>
              <w14:schemeClr w14:val="tx1"/>
            </w14:solidFill>
          </w14:textFill>
        </w:rPr>
        <w:t>176</w:t>
      </w:r>
      <w:r>
        <w:rPr>
          <w:rFonts w:eastAsia="仿宋"/>
          <w:color w:val="000000" w:themeColor="text1"/>
          <w:sz w:val="28"/>
          <w:szCs w:val="28"/>
          <w14:textFill>
            <w14:solidFill>
              <w14:schemeClr w14:val="tx1"/>
            </w14:solidFill>
          </w14:textFill>
        </w:rPr>
        <w:t>万元，抚顺县8乡镇已完成中医馆全覆盖。乡镇卫生院标准化建设取得重大进展，全县乡镇卫生院配齐基础设备。较好完成传染病防控工作，将总发病率控制在2</w:t>
      </w:r>
      <w:r>
        <w:rPr>
          <w:rFonts w:hint="eastAsia" w:eastAsia="仿宋"/>
          <w:color w:val="000000" w:themeColor="text1"/>
          <w:sz w:val="28"/>
          <w:szCs w:val="28"/>
          <w14:textFill>
            <w14:solidFill>
              <w14:schemeClr w14:val="tx1"/>
            </w14:solidFill>
          </w14:textFill>
        </w:rPr>
        <w:t>45.8</w:t>
      </w:r>
      <w:r>
        <w:rPr>
          <w:rFonts w:eastAsia="仿宋"/>
          <w:color w:val="000000" w:themeColor="text1"/>
          <w:sz w:val="28"/>
          <w:szCs w:val="28"/>
          <w14:textFill>
            <w14:solidFill>
              <w14:schemeClr w14:val="tx1"/>
            </w14:solidFill>
          </w14:textFill>
        </w:rPr>
        <w:t>/10万，同比下降了22.</w:t>
      </w:r>
      <w:r>
        <w:rPr>
          <w:rFonts w:hint="eastAsia" w:eastAsia="仿宋"/>
          <w:color w:val="000000" w:themeColor="text1"/>
          <w:sz w:val="28"/>
          <w:szCs w:val="28"/>
          <w14:textFill>
            <w14:solidFill>
              <w14:schemeClr w14:val="tx1"/>
            </w14:solidFill>
          </w14:textFill>
        </w:rPr>
        <w:t>86</w:t>
      </w:r>
      <w:r>
        <w:rPr>
          <w:rFonts w:eastAsia="仿宋"/>
          <w:color w:val="000000" w:themeColor="text1"/>
          <w:sz w:val="28"/>
          <w:szCs w:val="28"/>
          <w14:textFill>
            <w14:solidFill>
              <w14:schemeClr w14:val="tx1"/>
            </w14:solidFill>
          </w14:textFill>
        </w:rPr>
        <w:t>%，无甲类传染病发生。卡介苗、乙肝疫苗等国家规划的疫苗接种率均达到95%以上。推进建立健康档案工作，建档率达到90%以上；加强对高血压、糖尿病患者的健康管理，高血压、糖尿病患者规范管理率分别达到88.07%和94.5%。</w:t>
      </w:r>
      <w:r>
        <w:rPr>
          <w:rFonts w:hint="eastAsia" w:eastAsia="仿宋"/>
          <w:color w:val="000000" w:themeColor="text1"/>
          <w:sz w:val="28"/>
          <w:szCs w:val="28"/>
          <w14:textFill>
            <w14:solidFill>
              <w14:schemeClr w14:val="tx1"/>
            </w14:solidFill>
          </w14:textFill>
        </w:rPr>
        <w:t>加大惠民力度，组织开展孝老爱亲公益志愿服务系列活动。参照65岁以上老年人体检模式，为60-64周岁老年人提供免费体检服务。</w:t>
      </w:r>
    </w:p>
    <w:p>
      <w:pPr>
        <w:pStyle w:val="2"/>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w:t>
      </w:r>
      <w:r>
        <w:rPr>
          <w:rFonts w:hint="eastAsia" w:eastAsia="仿宋"/>
          <w:b/>
          <w:bCs/>
          <w:color w:val="000000" w:themeColor="text1"/>
          <w:sz w:val="28"/>
          <w:szCs w:val="28"/>
          <w14:textFill>
            <w14:solidFill>
              <w14:schemeClr w14:val="tx1"/>
            </w14:solidFill>
          </w14:textFill>
        </w:rPr>
        <w:t>疫情防控</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严格按照省疫情防控应急响应，做好24小时疫情报告管理和值班工作。紧急采购各类疫情防控物资，为开展疫情流调排查和采样工作打好坚实基础。共发放防护服1500余套；N95口罩和一次性口罩1800余个；体温计400余个；红外线测温仪1000余把；手套5500余副；消杀药品3.5吨。70余名医务人员参与卡点24小时测温排查工作</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深入乡镇村屯对返抚回乡人员采样，共采样122人</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指导学校分批次开学，对教职员工进行采样检测，共检测1161人</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组织县医院医务人员3名赴湖北省武汉市蔡甸区协和江北医院支援并圆满完成支援任务。</w:t>
      </w:r>
    </w:p>
    <w:p>
      <w:pPr>
        <w:pStyle w:val="2"/>
        <w:ind w:firstLine="560" w:firstLineChars="200"/>
        <w:rPr>
          <w:rFonts w:ascii="仿宋" w:hAnsi="仿宋"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计生工作。</w:t>
      </w:r>
      <w:r>
        <w:rPr>
          <w:rFonts w:hint="eastAsia" w:ascii="仿宋" w:hAnsi="仿宋" w:eastAsia="仿宋"/>
          <w:color w:val="000000" w:themeColor="text1"/>
          <w:sz w:val="28"/>
          <w:szCs w:val="28"/>
          <w14:textFill>
            <w14:solidFill>
              <w14:schemeClr w14:val="tx1"/>
            </w14:solidFill>
          </w14:textFill>
        </w:rPr>
        <w:t>稳妥实施全面两孩政策，强化计划生育基层基础工作，提高妇幼健康计划生育服务水平。“十三五”期间，孕产妇健康管</w:t>
      </w:r>
      <w:r>
        <w:rPr>
          <w:rFonts w:eastAsia="仿宋"/>
          <w:color w:val="000000" w:themeColor="text1"/>
          <w:sz w:val="28"/>
          <w:szCs w:val="28"/>
          <w14:textFill>
            <w14:solidFill>
              <w14:schemeClr w14:val="tx1"/>
            </w14:solidFill>
          </w14:textFill>
        </w:rPr>
        <w:t>理率达到90%，免费计划生育基本技术服务覆盖率达到100%，免费孕</w:t>
      </w:r>
      <w:r>
        <w:rPr>
          <w:rFonts w:hint="eastAsia" w:ascii="仿宋" w:hAnsi="仿宋" w:eastAsia="仿宋"/>
          <w:color w:val="000000" w:themeColor="text1"/>
          <w:sz w:val="28"/>
          <w:szCs w:val="28"/>
          <w14:textFill>
            <w14:solidFill>
              <w14:schemeClr w14:val="tx1"/>
            </w14:solidFill>
          </w14:textFill>
        </w:rPr>
        <w:t>前优生健康检查目标人群覆盖率达到80%，农村部分计划生育家庭奖励扶助政策落</w:t>
      </w:r>
      <w:r>
        <w:rPr>
          <w:rFonts w:eastAsia="仿宋"/>
          <w:color w:val="000000" w:themeColor="text1"/>
          <w:sz w:val="28"/>
          <w:szCs w:val="28"/>
          <w14:textFill>
            <w14:solidFill>
              <w14:schemeClr w14:val="tx1"/>
            </w14:solidFill>
          </w14:textFill>
        </w:rPr>
        <w:t>实率达到100%，计划生育特殊家庭联系人制度目标人群覆盖率达到98%</w:t>
      </w:r>
      <w:r>
        <w:rPr>
          <w:rFonts w:hint="eastAsia" w:ascii="仿宋" w:hAnsi="仿宋" w:eastAsia="仿宋"/>
          <w:color w:val="000000" w:themeColor="text1"/>
          <w:sz w:val="28"/>
          <w:szCs w:val="28"/>
          <w14:textFill>
            <w14:solidFill>
              <w14:schemeClr w14:val="tx1"/>
            </w14:solidFill>
          </w14:textFill>
        </w:rPr>
        <w:t>。</w:t>
      </w:r>
    </w:p>
    <w:p>
      <w:pPr>
        <w:pStyle w:val="2"/>
        <w:ind w:firstLine="560" w:firstLineChars="200"/>
        <w:rPr>
          <w:rFonts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社会服务。</w:t>
      </w:r>
      <w:r>
        <w:rPr>
          <w:rFonts w:hint="eastAsia" w:ascii="仿宋" w:hAnsi="仿宋" w:eastAsia="仿宋"/>
          <w:color w:val="000000" w:themeColor="text1"/>
          <w:sz w:val="28"/>
          <w:szCs w:val="28"/>
          <w14:textFill>
            <w14:solidFill>
              <w14:schemeClr w14:val="tx1"/>
            </w14:solidFill>
          </w14:textFill>
        </w:rPr>
        <w:t>推进“全县通办”全覆盖，完成“全县通办”平台覆盖</w:t>
      </w:r>
      <w:r>
        <w:rPr>
          <w:rFonts w:eastAsia="仿宋"/>
          <w:color w:val="000000" w:themeColor="text1"/>
          <w:sz w:val="28"/>
          <w:szCs w:val="28"/>
          <w14:textFill>
            <w14:solidFill>
              <w14:schemeClr w14:val="tx1"/>
            </w14:solidFill>
          </w14:textFill>
        </w:rPr>
        <w:t>至全县8个乡镇、95个行政村</w:t>
      </w:r>
      <w:r>
        <w:rPr>
          <w:rFonts w:hint="eastAsia" w:eastAsia="仿宋"/>
          <w:color w:val="000000" w:themeColor="text1"/>
          <w:sz w:val="28"/>
          <w:szCs w:val="28"/>
          <w14:textFill>
            <w14:solidFill>
              <w14:schemeClr w14:val="tx1"/>
            </w14:solidFill>
          </w14:textFill>
        </w:rPr>
        <w:t>；继续开发、完善手机APP“网上办理”板块，实现事项“在线提交、在线审核、在线办理”，不断提升我县政务服务智慧化水平。</w:t>
      </w:r>
    </w:p>
    <w:p>
      <w:pPr>
        <w:pStyle w:val="2"/>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治安防控。</w:t>
      </w:r>
      <w:r>
        <w:rPr>
          <w:rFonts w:hint="eastAsia" w:ascii="仿宋" w:hAnsi="仿宋" w:eastAsia="仿宋"/>
          <w:color w:val="000000" w:themeColor="text1"/>
          <w:sz w:val="28"/>
          <w:szCs w:val="28"/>
          <w14:textFill>
            <w14:solidFill>
              <w14:schemeClr w14:val="tx1"/>
            </w14:solidFill>
          </w14:textFill>
        </w:rPr>
        <w:t>大力推进依法治安和科技强安，加快安全生产基础保障能力建设，加快重点行业（领域）救援队伍建设，建立了县、乡两级安全生产预案报备制度，形成了县、乡、企业三级安全生产应急救援体系。预计到</w:t>
      </w:r>
      <w:r>
        <w:rPr>
          <w:rFonts w:eastAsia="仿宋"/>
          <w:color w:val="000000" w:themeColor="text1"/>
          <w:sz w:val="28"/>
          <w:szCs w:val="28"/>
          <w14:textFill>
            <w14:solidFill>
              <w14:schemeClr w14:val="tx1"/>
            </w14:solidFill>
          </w14:textFill>
        </w:rPr>
        <w:t>2020</w:t>
      </w:r>
      <w:r>
        <w:rPr>
          <w:rFonts w:hint="eastAsia" w:ascii="仿宋" w:hAnsi="仿宋" w:eastAsia="仿宋"/>
          <w:color w:val="000000" w:themeColor="text1"/>
          <w:sz w:val="28"/>
          <w:szCs w:val="28"/>
          <w14:textFill>
            <w14:solidFill>
              <w14:schemeClr w14:val="tx1"/>
            </w14:solidFill>
          </w14:textFill>
        </w:rPr>
        <w:t>年结束</w:t>
      </w:r>
      <w:r>
        <w:rPr>
          <w:rFonts w:eastAsia="仿宋"/>
          <w:color w:val="000000" w:themeColor="text1"/>
          <w:sz w:val="28"/>
          <w:szCs w:val="28"/>
          <w14:textFill>
            <w14:solidFill>
              <w14:schemeClr w14:val="tx1"/>
            </w14:solidFill>
          </w14:textFill>
        </w:rPr>
        <w:t>，基本实现高危行业（领域）规模以上企业应急预案备案率达到100%</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 xml:space="preserve"> </w:t>
      </w:r>
    </w:p>
    <w:p>
      <w:pPr>
        <w:pStyle w:val="2"/>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水利发展。</w:t>
      </w:r>
      <w:r>
        <w:rPr>
          <w:rFonts w:eastAsia="仿宋"/>
          <w:color w:val="000000" w:themeColor="text1"/>
          <w:sz w:val="28"/>
          <w:szCs w:val="28"/>
          <w14:textFill>
            <w14:solidFill>
              <w14:schemeClr w14:val="tx1"/>
            </w14:solidFill>
          </w14:textFill>
        </w:rPr>
        <w:t>十三五期间共治理中小河流长度为88.35公里，中小河流总投资为12838万元。水利工程建设取得进展，</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十三五</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期间维修方塘14座，新建方塘8座，新建大口井11眼，新建机电井7眼，维修新建渠首10座，维修水闸2座，维修渠道72.591公里，喷滴灌系统0.41万亩，水表89套，量测设施24套，改善灌溉面积4.33万亩。</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十三五</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期间共实施水库移民后期扶持项目142项，总投资6063万元，下发移民直补资金1713.425万元，共有5960名核定移民享受的每人每年600元补助的政策。</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十三五</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期间共完成水库除险加固项目3座，其中2017年完成前安水库、2018年完成官山水库、2019年完成通什水库，完成投资660万元。</w:t>
      </w:r>
    </w:p>
    <w:p>
      <w:pPr>
        <w:pStyle w:val="2"/>
        <w:ind w:firstLine="562" w:firstLineChars="200"/>
        <w:rPr>
          <w:rFonts w:eastAsia="仿宋"/>
          <w:b/>
          <w:bCs/>
          <w:color w:val="000000" w:themeColor="text1"/>
          <w:sz w:val="28"/>
          <w:szCs w:val="28"/>
          <w14:textFill>
            <w14:solidFill>
              <w14:schemeClr w14:val="tx1"/>
            </w14:solidFill>
          </w14:textFill>
        </w:rPr>
      </w:pPr>
      <w:r>
        <w:rPr>
          <w:rFonts w:hint="eastAsia" w:eastAsia="仿宋"/>
          <w:b/>
          <w:bCs/>
          <w:color w:val="000000" w:themeColor="text1"/>
          <w:sz w:val="28"/>
          <w:szCs w:val="28"/>
          <w14:textFill>
            <w14:solidFill>
              <w14:schemeClr w14:val="tx1"/>
            </w14:solidFill>
          </w14:textFill>
        </w:rPr>
        <w:t>七、推进全面小康，三大攻坚战取得关键进展</w:t>
      </w:r>
    </w:p>
    <w:p>
      <w:pPr>
        <w:pStyle w:val="2"/>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“十三五”时期，我县坚持用心用情用力抓、有力有序有效抓，抓紧补短板、堵漏洞、强弱项，统筹推进防范化解重大风险、精准脱贫、污染防治三大攻坚战。</w:t>
      </w:r>
      <w:r>
        <w:rPr>
          <w:rFonts w:hint="eastAsia" w:eastAsia="仿宋"/>
          <w:b/>
          <w:bCs/>
          <w:color w:val="000000" w:themeColor="text1"/>
          <w:sz w:val="28"/>
          <w:szCs w:val="28"/>
          <w14:textFill>
            <w14:solidFill>
              <w14:schemeClr w14:val="tx1"/>
            </w14:solidFill>
          </w14:textFill>
        </w:rPr>
        <w:t>在防范化解重大风险方面，</w:t>
      </w:r>
      <w:r>
        <w:rPr>
          <w:rFonts w:hint="eastAsia" w:eastAsia="仿宋"/>
          <w:color w:val="000000" w:themeColor="text1"/>
          <w:sz w:val="28"/>
          <w:szCs w:val="28"/>
          <w14:textFill>
            <w14:solidFill>
              <w14:schemeClr w14:val="tx1"/>
            </w14:solidFill>
          </w14:textFill>
        </w:rPr>
        <w:t>重点是防控金融风险。十三五期间，全县坚决有力防范化解金融风险，坚决守住不发生系统性风险底线。加大推进防范和处置非法集资工作，坚持打防结合、标本兼治，全力维护人民群众财产安全，健全工作机制、创新工作方法、强化宣传教育，“十三五”期间，全县无非法集资案件发生。</w:t>
      </w:r>
      <w:r>
        <w:rPr>
          <w:rFonts w:hint="eastAsia" w:eastAsia="仿宋"/>
          <w:b/>
          <w:bCs/>
          <w:color w:val="000000" w:themeColor="text1"/>
          <w:sz w:val="28"/>
          <w:szCs w:val="28"/>
          <w14:textFill>
            <w14:solidFill>
              <w14:schemeClr w14:val="tx1"/>
            </w14:solidFill>
          </w14:textFill>
        </w:rPr>
        <w:t>在精准脱贫方面，</w:t>
      </w:r>
      <w:r>
        <w:rPr>
          <w:rFonts w:hint="eastAsia" w:eastAsia="仿宋"/>
          <w:color w:val="000000" w:themeColor="text1"/>
          <w:sz w:val="28"/>
          <w:szCs w:val="28"/>
          <w14:textFill>
            <w14:solidFill>
              <w14:schemeClr w14:val="tx1"/>
            </w14:solidFill>
          </w14:textFill>
        </w:rPr>
        <w:t>“十三五”期间，我县共投入扶贫专项资金1018.95万元，现有建档立卡贫困人口179户391人，分布在7个乡镇37个行政村，人均收入全部超过省定脱贫标准4400元，已全部实现脱贫，4个省级贫困村全部销号。</w:t>
      </w:r>
      <w:r>
        <w:rPr>
          <w:rFonts w:hint="eastAsia" w:eastAsia="仿宋"/>
          <w:b/>
          <w:bCs/>
          <w:color w:val="000000" w:themeColor="text1"/>
          <w:sz w:val="28"/>
          <w:szCs w:val="28"/>
          <w14:textFill>
            <w14:solidFill>
              <w14:schemeClr w14:val="tx1"/>
            </w14:solidFill>
          </w14:textFill>
        </w:rPr>
        <w:t>在污染防治方面，</w:t>
      </w:r>
      <w:r>
        <w:rPr>
          <w:rFonts w:hint="eastAsia" w:eastAsia="仿宋"/>
          <w:color w:val="000000" w:themeColor="text1"/>
          <w:sz w:val="28"/>
          <w:szCs w:val="28"/>
          <w14:textFill>
            <w14:solidFill>
              <w14:schemeClr w14:val="tx1"/>
            </w14:solidFill>
          </w14:textFill>
        </w:rPr>
        <w:t>“十三五”期间，垃圾分类处理减量化工作再上新台阶。全县共建设垃圾填埋场5座，垃圾转运站35座，垃圾分选场2座，垃圾箱（池）260 个，垃圾运输车辆 70台，总投资1.5亿元。全县农厕无害化厕所基本得到普及。截止到2019年底，全县共建设无害化卫生厕所7000余座。“十三五”期间，我县畜禽废弃物处理能力要不断提高。全县建设养殖业粪污收集设施40处，其中规模养殖场22处，水源地二级保护区养殖户18处，年处理畜禽废弃物3万吨。同时，建设动物无害化处理中心1处，分散的处理点11处，基本保证病死动物的无害化处理。此外，2019年度全县还开展了河库“清四乱”及垃圾清理专项行动，共清理垃圾数量23050立方米，投入资金151.56万元。</w:t>
      </w:r>
    </w:p>
    <w:p>
      <w:pPr>
        <w:pStyle w:val="4"/>
        <w:spacing w:line="360" w:lineRule="auto"/>
        <w:ind w:firstLine="0" w:firstLineChars="0"/>
        <w:jc w:val="center"/>
        <w:rPr>
          <w:color w:val="000000" w:themeColor="text1"/>
          <w14:textFill>
            <w14:solidFill>
              <w14:schemeClr w14:val="tx1"/>
            </w14:solidFill>
          </w14:textFill>
        </w:rPr>
      </w:pPr>
      <w:bookmarkStart w:id="17" w:name="_Toc53698355"/>
      <w:bookmarkStart w:id="18" w:name="_Hlk51665355"/>
      <w:r>
        <w:rPr>
          <w:rFonts w:hint="eastAsia"/>
          <w:color w:val="000000" w:themeColor="text1"/>
          <w14:textFill>
            <w14:solidFill>
              <w14:schemeClr w14:val="tx1"/>
            </w14:solidFill>
          </w14:textFill>
        </w:rPr>
        <w:t xml:space="preserve">第二节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“十三五”规划纲要指标完成情况</w:t>
      </w:r>
      <w:bookmarkEnd w:id="17"/>
    </w:p>
    <w:p>
      <w:pPr>
        <w:ind w:firstLine="560" w:firstLineChars="200"/>
        <w:rPr>
          <w:rFonts w:ascii="仿宋" w:hAnsi="仿宋" w:eastAsia="仿宋"/>
          <w:color w:val="000000" w:themeColor="text1"/>
          <w:sz w:val="28"/>
          <w:szCs w:val="28"/>
          <w14:textFill>
            <w14:solidFill>
              <w14:schemeClr w14:val="tx1"/>
            </w14:solidFill>
          </w14:textFill>
        </w:rPr>
      </w:pPr>
      <w:bookmarkStart w:id="19" w:name="_Hlk51695327"/>
      <w:r>
        <w:rPr>
          <w:rFonts w:hint="eastAsia" w:eastAsia="仿宋"/>
          <w:color w:val="000000" w:themeColor="text1"/>
          <w:sz w:val="28"/>
          <w:szCs w:val="28"/>
          <w14:textFill>
            <w14:solidFill>
              <w14:schemeClr w14:val="tx1"/>
            </w14:solidFill>
          </w14:textFill>
        </w:rPr>
        <w:t>从任务指标完成情况来看，《抚顺县国民经济和社会发展第十三个五年(2016-2020年)规划纲要》（以下简称《纲要》）提出的主要目标、重点任务、重大工程实施进展基本顺利，22个主要指标大多数达到预期进度要求，少数指标已提前完成《纲要》目标（见专栏1）。</w:t>
      </w:r>
      <w:r>
        <w:rPr>
          <w:rFonts w:eastAsia="仿宋"/>
          <w:sz w:val="28"/>
          <w:szCs w:val="36"/>
        </w:rPr>
        <w:t>其中，经济发展指标</w:t>
      </w:r>
      <w:r>
        <w:rPr>
          <w:rFonts w:hint="eastAsia" w:eastAsia="仿宋"/>
          <w:sz w:val="28"/>
          <w:szCs w:val="36"/>
        </w:rPr>
        <w:t>10</w:t>
      </w:r>
      <w:r>
        <w:rPr>
          <w:rFonts w:eastAsia="仿宋"/>
          <w:sz w:val="28"/>
          <w:szCs w:val="36"/>
        </w:rPr>
        <w:t>项，完成或基本完成5项，未达成目标</w:t>
      </w:r>
      <w:r>
        <w:rPr>
          <w:rFonts w:hint="eastAsia" w:eastAsia="仿宋"/>
          <w:sz w:val="28"/>
          <w:szCs w:val="36"/>
        </w:rPr>
        <w:t>2</w:t>
      </w:r>
      <w:r>
        <w:rPr>
          <w:rFonts w:eastAsia="仿宋"/>
          <w:sz w:val="28"/>
          <w:szCs w:val="36"/>
        </w:rPr>
        <w:t>项，</w:t>
      </w:r>
      <w:r>
        <w:rPr>
          <w:rFonts w:hint="eastAsia" w:eastAsia="仿宋"/>
          <w:sz w:val="28"/>
          <w:szCs w:val="36"/>
        </w:rPr>
        <w:t>“</w:t>
      </w:r>
      <w:r>
        <w:rPr>
          <w:rFonts w:eastAsia="仿宋"/>
          <w:sz w:val="28"/>
          <w:szCs w:val="36"/>
        </w:rPr>
        <w:t>十三五</w:t>
      </w:r>
      <w:r>
        <w:rPr>
          <w:rFonts w:hint="eastAsia" w:eastAsia="仿宋"/>
          <w:sz w:val="28"/>
          <w:szCs w:val="36"/>
        </w:rPr>
        <w:t>”</w:t>
      </w:r>
      <w:r>
        <w:rPr>
          <w:rFonts w:eastAsia="仿宋"/>
          <w:sz w:val="28"/>
          <w:szCs w:val="36"/>
        </w:rPr>
        <w:t>规划中未明确提出目标</w:t>
      </w:r>
      <w:r>
        <w:rPr>
          <w:rFonts w:hint="eastAsia" w:eastAsia="仿宋"/>
          <w:sz w:val="28"/>
          <w:szCs w:val="36"/>
        </w:rPr>
        <w:t>3</w:t>
      </w:r>
      <w:r>
        <w:rPr>
          <w:rFonts w:eastAsia="仿宋"/>
          <w:sz w:val="28"/>
          <w:szCs w:val="36"/>
        </w:rPr>
        <w:t>项，目标完成率占经济发展指标总数的</w:t>
      </w:r>
      <w:r>
        <w:rPr>
          <w:rFonts w:hint="eastAsia" w:eastAsia="仿宋"/>
          <w:sz w:val="28"/>
          <w:szCs w:val="36"/>
        </w:rPr>
        <w:t>50</w:t>
      </w:r>
      <w:r>
        <w:rPr>
          <w:rFonts w:eastAsia="仿宋"/>
          <w:sz w:val="28"/>
          <w:szCs w:val="36"/>
        </w:rPr>
        <w:t>%；公共民生指标10项，完成或基本完成8项，未达成目标1项，</w:t>
      </w:r>
      <w:r>
        <w:rPr>
          <w:rFonts w:hint="eastAsia" w:eastAsia="仿宋"/>
          <w:sz w:val="28"/>
          <w:szCs w:val="36"/>
        </w:rPr>
        <w:t>“</w:t>
      </w:r>
      <w:r>
        <w:rPr>
          <w:rFonts w:eastAsia="仿宋"/>
          <w:sz w:val="28"/>
          <w:szCs w:val="36"/>
        </w:rPr>
        <w:t>十三五</w:t>
      </w:r>
      <w:r>
        <w:rPr>
          <w:rFonts w:hint="eastAsia" w:eastAsia="仿宋"/>
          <w:sz w:val="28"/>
          <w:szCs w:val="36"/>
        </w:rPr>
        <w:t>”</w:t>
      </w:r>
      <w:r>
        <w:rPr>
          <w:rFonts w:eastAsia="仿宋"/>
          <w:sz w:val="28"/>
          <w:szCs w:val="36"/>
        </w:rPr>
        <w:t>规划中明确但无法统计1项，目标完成率占公共民生指标总数的80%；资源环境指标2项，完成或基本完成1项，</w:t>
      </w:r>
      <w:r>
        <w:rPr>
          <w:rFonts w:hint="eastAsia" w:eastAsia="仿宋"/>
          <w:sz w:val="28"/>
          <w:szCs w:val="36"/>
        </w:rPr>
        <w:t>“</w:t>
      </w:r>
      <w:r>
        <w:rPr>
          <w:rFonts w:eastAsia="仿宋"/>
          <w:sz w:val="28"/>
          <w:szCs w:val="36"/>
        </w:rPr>
        <w:t>十三五</w:t>
      </w:r>
      <w:r>
        <w:rPr>
          <w:rFonts w:hint="eastAsia" w:eastAsia="仿宋"/>
          <w:sz w:val="28"/>
          <w:szCs w:val="36"/>
        </w:rPr>
        <w:t>”</w:t>
      </w:r>
      <w:r>
        <w:rPr>
          <w:rFonts w:eastAsia="仿宋"/>
          <w:sz w:val="28"/>
          <w:szCs w:val="36"/>
        </w:rPr>
        <w:t>规划中明确但无法统计1项，占资源环境指标总数的50%。</w:t>
      </w:r>
      <w:r>
        <w:rPr>
          <w:rFonts w:hint="eastAsia" w:eastAsia="仿宋"/>
          <w:color w:val="000000" w:themeColor="text1"/>
          <w:sz w:val="28"/>
          <w:szCs w:val="28"/>
          <w14:textFill>
            <w14:solidFill>
              <w14:schemeClr w14:val="tx1"/>
            </w14:solidFill>
          </w14:textFill>
        </w:rPr>
        <w:t>受国内外经济下行压力、国际贸易摩擦加剧、产业结构优化升级较慢、能源结构优化调整进展不快、部分企业减排力度不够、新冠肺炎</w:t>
      </w:r>
      <w:r>
        <w:rPr>
          <w:rFonts w:hint="eastAsia" w:eastAsia="仿宋"/>
          <w:color w:val="000000" w:themeColor="text1"/>
          <w:sz w:val="28"/>
          <w:szCs w:val="28"/>
          <w:lang w:eastAsia="zh-CN"/>
          <w14:textFill>
            <w14:solidFill>
              <w14:schemeClr w14:val="tx1"/>
            </w14:solidFill>
          </w14:textFill>
        </w:rPr>
        <w:t>疫情暴发</w:t>
      </w:r>
      <w:r>
        <w:rPr>
          <w:rFonts w:hint="eastAsia" w:eastAsia="仿宋"/>
          <w:color w:val="000000" w:themeColor="text1"/>
          <w:sz w:val="28"/>
          <w:szCs w:val="28"/>
          <w14:textFill>
            <w14:solidFill>
              <w14:schemeClr w14:val="tx1"/>
            </w14:solidFill>
          </w14:textFill>
        </w:rPr>
        <w:t>等原因的影响，全县地区生产总值及增长率、非矿产业占财政收入比重、资源加工产业在工业中的比重、城镇化率、</w:t>
      </w:r>
      <w:r>
        <w:rPr>
          <w:rFonts w:hint="eastAsia" w:ascii="仿宋" w:hAnsi="仿宋" w:eastAsia="仿宋"/>
          <w:color w:val="000000" w:themeColor="text1"/>
          <w:sz w:val="28"/>
          <w:szCs w:val="28"/>
          <w14:textFill>
            <w14:solidFill>
              <w14:schemeClr w14:val="tx1"/>
            </w14:solidFill>
          </w14:textFill>
        </w:rPr>
        <w:t>重点村屯控制性详细规划完成率、行政村屯自来水普及率、森林覆盖率等约束性指标进度滞后，未达预期。</w:t>
      </w:r>
      <w:bookmarkEnd w:id="14"/>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bottom w:val="nil"/>
            </w:tcBorders>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专栏1</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三</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规划《纲要》</w:t>
            </w:r>
            <w:r>
              <w:rPr>
                <w:rFonts w:ascii="仿宋" w:hAnsi="仿宋" w:eastAsia="仿宋"/>
                <w:b/>
                <w:bCs/>
                <w:color w:val="000000" w:themeColor="text1"/>
                <w:kern w:val="0"/>
                <w:sz w:val="28"/>
                <w:szCs w:val="28"/>
                <w14:textFill>
                  <w14:solidFill>
                    <w14:schemeClr w14:val="tx1"/>
                  </w14:solidFill>
                </w14:textFill>
              </w:rPr>
              <w:t>主要</w:t>
            </w:r>
            <w:r>
              <w:rPr>
                <w:rFonts w:hint="eastAsia" w:ascii="仿宋" w:hAnsi="仿宋" w:eastAsia="仿宋"/>
                <w:b/>
                <w:bCs/>
                <w:color w:val="000000" w:themeColor="text1"/>
                <w:kern w:val="0"/>
                <w:sz w:val="28"/>
                <w:szCs w:val="28"/>
                <w14:textFill>
                  <w14:solidFill>
                    <w14:schemeClr w14:val="tx1"/>
                  </w14:solidFill>
                </w14:textFill>
              </w:rPr>
              <w:t>指标完成情况</w:t>
            </w:r>
          </w:p>
        </w:tc>
      </w:tr>
    </w:tbl>
    <w:tbl>
      <w:tblPr>
        <w:tblStyle w:val="2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276"/>
        <w:gridCol w:w="708"/>
        <w:gridCol w:w="709"/>
        <w:gridCol w:w="709"/>
        <w:gridCol w:w="709"/>
        <w:gridCol w:w="708"/>
        <w:gridCol w:w="709"/>
        <w:gridCol w:w="710"/>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指标名称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2015年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2016年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2017年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2018年</w:t>
            </w:r>
          </w:p>
        </w:tc>
        <w:tc>
          <w:tcPr>
            <w:tcW w:w="708"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2019年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2020年</w:t>
            </w:r>
          </w:p>
        </w:tc>
        <w:tc>
          <w:tcPr>
            <w:tcW w:w="710"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预期</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目标</w:t>
            </w:r>
          </w:p>
        </w:tc>
        <w:tc>
          <w:tcPr>
            <w:tcW w:w="646"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是否</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4" w:type="dxa"/>
            <w:vMerge w:val="restart"/>
            <w:tcBorders>
              <w:top w:val="single" w:color="auto" w:sz="4" w:space="0"/>
            </w:tcBorders>
            <w:vAlign w:val="center"/>
          </w:tcPr>
          <w:p>
            <w:pPr>
              <w:pStyle w:val="2"/>
              <w:jc w:val="center"/>
              <w:rPr>
                <w:color w:val="000000" w:themeColor="text1"/>
                <w:sz w:val="15"/>
                <w:szCs w:val="15"/>
                <w14:textFill>
                  <w14:solidFill>
                    <w14:schemeClr w14:val="tx1"/>
                  </w14:solidFill>
                </w14:textFill>
              </w:rPr>
            </w:pPr>
            <w:bookmarkStart w:id="20" w:name="_Hlk51850648"/>
            <w:r>
              <w:rPr>
                <w:rFonts w:hint="eastAsia"/>
                <w:color w:val="000000" w:themeColor="text1"/>
                <w:sz w:val="15"/>
                <w:szCs w:val="15"/>
                <w14:textFill>
                  <w14:solidFill>
                    <w14:schemeClr w14:val="tx1"/>
                  </w14:solidFill>
                </w14:textFill>
              </w:rPr>
              <w:t>经 济</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发 展</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 标</w:t>
            </w:r>
          </w:p>
        </w:tc>
        <w:tc>
          <w:tcPr>
            <w:tcW w:w="709" w:type="dxa"/>
            <w:vMerge w:val="restart"/>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p>
        </w:tc>
        <w:tc>
          <w:tcPr>
            <w:tcW w:w="1276" w:type="dxa"/>
            <w:tcBorders>
              <w:top w:val="single" w:color="auto" w:sz="4" w:space="0"/>
            </w:tcBorders>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地区生产总值（万元）</w:t>
            </w:r>
          </w:p>
        </w:tc>
        <w:tc>
          <w:tcPr>
            <w:tcW w:w="708"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257570</w:t>
            </w:r>
          </w:p>
        </w:tc>
        <w:tc>
          <w:tcPr>
            <w:tcW w:w="709"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275257</w:t>
            </w:r>
          </w:p>
        </w:tc>
        <w:tc>
          <w:tcPr>
            <w:tcW w:w="709"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290251</w:t>
            </w:r>
          </w:p>
        </w:tc>
        <w:tc>
          <w:tcPr>
            <w:tcW w:w="709"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301550</w:t>
            </w:r>
          </w:p>
        </w:tc>
        <w:tc>
          <w:tcPr>
            <w:tcW w:w="708"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294588</w:t>
            </w:r>
          </w:p>
        </w:tc>
        <w:tc>
          <w:tcPr>
            <w:tcW w:w="709"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300480</w:t>
            </w:r>
          </w:p>
        </w:tc>
        <w:tc>
          <w:tcPr>
            <w:tcW w:w="710"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sz w:val="15"/>
                <w:szCs w:val="15"/>
              </w:rPr>
              <w:t>330300</w:t>
            </w:r>
          </w:p>
        </w:tc>
        <w:tc>
          <w:tcPr>
            <w:tcW w:w="646" w:type="dxa"/>
            <w:tcBorders>
              <w:top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Merge w:val="continue"/>
            <w:vAlign w:val="center"/>
          </w:tcPr>
          <w:p>
            <w:pPr>
              <w:pStyle w:val="2"/>
              <w:jc w:val="center"/>
              <w:rPr>
                <w:color w:val="000000" w:themeColor="text1"/>
                <w:sz w:val="15"/>
                <w:szCs w:val="15"/>
                <w14:textFill>
                  <w14:solidFill>
                    <w14:schemeClr w14:val="tx1"/>
                  </w14:solidFill>
                </w14:textFill>
              </w:rPr>
            </w:pP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增长率（%）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-0.6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10.1</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年均5.1</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规上工业总产值（万元）</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145899</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113388</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168494</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193681</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178828</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185000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无</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规上工业增加值（万元）</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43770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30887</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61871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80536</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80472</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115000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无</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固定资产投资（万元）</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399571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105333</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119251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135899</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103962</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115000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无</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一般公共预算收入（万元）</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32167</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31247</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41019</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45252</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51876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55097</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42000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非矿产业占税收比重（%）</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49</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50</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46</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非矿产业占财政收入比重（%）</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44</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54</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55</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39</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38</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资源加工产业在工业中的比重（%）</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68.8</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64.1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60.6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72.01</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78.65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80.69</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15</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w:t>
            </w:r>
          </w:p>
        </w:tc>
        <w:tc>
          <w:tcPr>
            <w:tcW w:w="1276" w:type="dxa"/>
            <w:vAlign w:val="center"/>
          </w:tcPr>
          <w:p>
            <w:pPr>
              <w:pStyle w:val="2"/>
              <w:rPr>
                <w:rFonts w:ascii="宋体" w:hAnsi="宋体"/>
                <w:color w:val="000000" w:themeColor="text1"/>
                <w:sz w:val="15"/>
                <w:szCs w:val="15"/>
                <w14:textFill>
                  <w14:solidFill>
                    <w14:schemeClr w14:val="tx1"/>
                  </w14:solidFill>
                </w14:textFill>
              </w:rPr>
            </w:pPr>
            <w:r>
              <w:rPr>
                <w:rFonts w:hint="eastAsia" w:ascii="宋体" w:hAnsi="宋体" w:cs="仿宋"/>
                <w:sz w:val="15"/>
                <w:szCs w:val="15"/>
              </w:rPr>
              <w:t>高新技术产业在工业中的比重（%）</w:t>
            </w:r>
          </w:p>
        </w:tc>
        <w:tc>
          <w:tcPr>
            <w:tcW w:w="708" w:type="dxa"/>
            <w:vAlign w:val="center"/>
          </w:tcPr>
          <w:p>
            <w:pPr>
              <w:pStyle w:val="2"/>
              <w:jc w:val="center"/>
              <w:rPr>
                <w:color w:val="000000" w:themeColor="text1"/>
                <w:sz w:val="15"/>
                <w:szCs w:val="15"/>
                <w14:textFill>
                  <w14:solidFill>
                    <w14:schemeClr w14:val="tx1"/>
                  </w14:solidFill>
                </w14:textFill>
              </w:rPr>
            </w:pPr>
            <w:r>
              <w:rPr>
                <w:sz w:val="15"/>
                <w:szCs w:val="15"/>
              </w:rPr>
              <w:t>0</w:t>
            </w:r>
          </w:p>
        </w:tc>
        <w:tc>
          <w:tcPr>
            <w:tcW w:w="709" w:type="dxa"/>
            <w:vAlign w:val="center"/>
          </w:tcPr>
          <w:p>
            <w:pPr>
              <w:pStyle w:val="2"/>
              <w:jc w:val="center"/>
              <w:rPr>
                <w:color w:val="000000" w:themeColor="text1"/>
                <w:sz w:val="15"/>
                <w:szCs w:val="15"/>
                <w14:textFill>
                  <w14:solidFill>
                    <w14:schemeClr w14:val="tx1"/>
                  </w14:solidFill>
                </w14:textFill>
              </w:rPr>
            </w:pPr>
            <w:r>
              <w:rPr>
                <w:sz w:val="15"/>
                <w:szCs w:val="15"/>
              </w:rPr>
              <w:t>0</w:t>
            </w:r>
          </w:p>
        </w:tc>
        <w:tc>
          <w:tcPr>
            <w:tcW w:w="709" w:type="dxa"/>
            <w:vAlign w:val="center"/>
          </w:tcPr>
          <w:p>
            <w:pPr>
              <w:pStyle w:val="2"/>
              <w:jc w:val="center"/>
              <w:rPr>
                <w:color w:val="000000" w:themeColor="text1"/>
                <w:sz w:val="15"/>
                <w:szCs w:val="15"/>
                <w14:textFill>
                  <w14:solidFill>
                    <w14:schemeClr w14:val="tx1"/>
                  </w14:solidFill>
                </w14:textFill>
              </w:rPr>
            </w:pPr>
            <w:r>
              <w:rPr>
                <w:sz w:val="15"/>
                <w:szCs w:val="15"/>
              </w:rPr>
              <w:t>0</w:t>
            </w:r>
          </w:p>
        </w:tc>
        <w:tc>
          <w:tcPr>
            <w:tcW w:w="709" w:type="dxa"/>
            <w:vAlign w:val="center"/>
          </w:tcPr>
          <w:p>
            <w:pPr>
              <w:pStyle w:val="2"/>
              <w:jc w:val="center"/>
              <w:rPr>
                <w:color w:val="000000" w:themeColor="text1"/>
                <w:sz w:val="15"/>
                <w:szCs w:val="15"/>
                <w14:textFill>
                  <w14:solidFill>
                    <w14:schemeClr w14:val="tx1"/>
                  </w14:solidFill>
                </w14:textFill>
              </w:rPr>
            </w:pPr>
            <w:r>
              <w:rPr>
                <w:sz w:val="15"/>
                <w:szCs w:val="15"/>
              </w:rPr>
              <w:t>0</w:t>
            </w:r>
          </w:p>
        </w:tc>
        <w:tc>
          <w:tcPr>
            <w:tcW w:w="708" w:type="dxa"/>
            <w:vAlign w:val="center"/>
          </w:tcPr>
          <w:p>
            <w:pPr>
              <w:pStyle w:val="2"/>
              <w:jc w:val="center"/>
              <w:rPr>
                <w:color w:val="000000" w:themeColor="text1"/>
                <w:sz w:val="15"/>
                <w:szCs w:val="15"/>
                <w14:textFill>
                  <w14:solidFill>
                    <w14:schemeClr w14:val="tx1"/>
                  </w14:solidFill>
                </w14:textFill>
              </w:rPr>
            </w:pPr>
            <w:r>
              <w:rPr>
                <w:sz w:val="15"/>
                <w:szCs w:val="15"/>
              </w:rPr>
              <w:t>0</w:t>
            </w:r>
          </w:p>
        </w:tc>
        <w:tc>
          <w:tcPr>
            <w:tcW w:w="709" w:type="dxa"/>
            <w:vAlign w:val="center"/>
          </w:tcPr>
          <w:p>
            <w:pPr>
              <w:pStyle w:val="2"/>
              <w:jc w:val="center"/>
              <w:rPr>
                <w:color w:val="000000" w:themeColor="text1"/>
                <w:sz w:val="15"/>
                <w:szCs w:val="15"/>
                <w14:textFill>
                  <w14:solidFill>
                    <w14:schemeClr w14:val="tx1"/>
                  </w14:solidFill>
                </w14:textFill>
              </w:rPr>
            </w:pPr>
            <w:r>
              <w:rPr>
                <w:sz w:val="15"/>
                <w:szCs w:val="15"/>
              </w:rPr>
              <w:t>0</w:t>
            </w:r>
          </w:p>
        </w:tc>
        <w:tc>
          <w:tcPr>
            <w:tcW w:w="710" w:type="dxa"/>
            <w:vAlign w:val="center"/>
          </w:tcPr>
          <w:p>
            <w:pPr>
              <w:pStyle w:val="2"/>
              <w:jc w:val="center"/>
              <w:rPr>
                <w:color w:val="000000" w:themeColor="text1"/>
                <w:sz w:val="15"/>
                <w:szCs w:val="15"/>
                <w14:textFill>
                  <w14:solidFill>
                    <w14:schemeClr w14:val="tx1"/>
                  </w14:solidFill>
                </w14:textFill>
              </w:rPr>
            </w:pPr>
            <w:r>
              <w:rPr>
                <w:sz w:val="15"/>
                <w:szCs w:val="15"/>
              </w:rPr>
              <w:t>1</w:t>
            </w:r>
            <w:r>
              <w:rPr>
                <w:rFonts w:hint="eastAsia"/>
                <w:sz w:val="15"/>
                <w:szCs w:val="15"/>
              </w:rPr>
              <w:t>5</w:t>
            </w:r>
          </w:p>
        </w:tc>
        <w:tc>
          <w:tcPr>
            <w:tcW w:w="646" w:type="dxa"/>
            <w:vAlign w:val="center"/>
          </w:tcPr>
          <w:p>
            <w:pPr>
              <w:pStyle w:val="2"/>
              <w:jc w:val="center"/>
              <w:rPr>
                <w:color w:val="000000" w:themeColor="text1"/>
                <w:sz w:val="15"/>
                <w:szCs w:val="15"/>
                <w14:textFill>
                  <w14:solidFill>
                    <w14:schemeClr w14:val="tx1"/>
                  </w14:solidFill>
                </w14:textFill>
              </w:rPr>
            </w:pPr>
            <w:r>
              <w:rPr>
                <w:sz w:val="15"/>
                <w:szCs w:val="15"/>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城镇化率（%）</w:t>
            </w:r>
          </w:p>
        </w:tc>
        <w:tc>
          <w:tcPr>
            <w:tcW w:w="708"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18.3</w:t>
            </w:r>
          </w:p>
        </w:tc>
        <w:tc>
          <w:tcPr>
            <w:tcW w:w="709"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18.4</w:t>
            </w:r>
          </w:p>
        </w:tc>
        <w:tc>
          <w:tcPr>
            <w:tcW w:w="709"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18.2</w:t>
            </w:r>
          </w:p>
        </w:tc>
        <w:tc>
          <w:tcPr>
            <w:tcW w:w="709"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18.2</w:t>
            </w:r>
          </w:p>
        </w:tc>
        <w:tc>
          <w:tcPr>
            <w:tcW w:w="708"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18.1</w:t>
            </w:r>
          </w:p>
        </w:tc>
        <w:tc>
          <w:tcPr>
            <w:tcW w:w="709"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37</w:t>
            </w:r>
          </w:p>
        </w:tc>
        <w:tc>
          <w:tcPr>
            <w:tcW w:w="710"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50</w:t>
            </w:r>
          </w:p>
        </w:tc>
        <w:tc>
          <w:tcPr>
            <w:tcW w:w="646" w:type="dxa"/>
            <w:vAlign w:val="center"/>
          </w:tcPr>
          <w:p>
            <w:pPr>
              <w:pStyle w:val="2"/>
              <w:jc w:val="center"/>
              <w:rPr>
                <w:sz w:val="15"/>
                <w:szCs w:val="15"/>
              </w:rPr>
            </w:pPr>
            <w:r>
              <w:rPr>
                <w:rFonts w:hint="eastAsia"/>
                <w:color w:val="000000" w:themeColor="text1"/>
                <w:sz w:val="15"/>
                <w:szCs w:val="15"/>
                <w14:textFill>
                  <w14:solidFill>
                    <w14:schemeClr w14:val="tx1"/>
                  </w14:solidFill>
                </w14:textFill>
              </w:rPr>
              <w:t>否</w:t>
            </w:r>
          </w:p>
        </w:tc>
      </w:tr>
    </w:tbl>
    <w:p/>
    <w:p>
      <w:pPr>
        <w:pStyle w:val="2"/>
      </w:pPr>
    </w:p>
    <w:p>
      <w:pPr>
        <w:pStyle w:val="2"/>
      </w:pPr>
    </w:p>
    <w:p>
      <w:pPr>
        <w:pStyle w:val="2"/>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bottom w:val="nil"/>
            </w:tcBorders>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续专栏1</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三</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规划《纲要》</w:t>
            </w:r>
            <w:r>
              <w:rPr>
                <w:rFonts w:ascii="仿宋" w:hAnsi="仿宋" w:eastAsia="仿宋"/>
                <w:b/>
                <w:bCs/>
                <w:color w:val="000000" w:themeColor="text1"/>
                <w:kern w:val="0"/>
                <w:sz w:val="28"/>
                <w:szCs w:val="28"/>
                <w14:textFill>
                  <w14:solidFill>
                    <w14:schemeClr w14:val="tx1"/>
                  </w14:solidFill>
                </w14:textFill>
              </w:rPr>
              <w:t>主要</w:t>
            </w:r>
            <w:r>
              <w:rPr>
                <w:rFonts w:hint="eastAsia" w:ascii="仿宋" w:hAnsi="仿宋" w:eastAsia="仿宋"/>
                <w:b/>
                <w:bCs/>
                <w:color w:val="000000" w:themeColor="text1"/>
                <w:kern w:val="0"/>
                <w:sz w:val="28"/>
                <w:szCs w:val="28"/>
                <w14:textFill>
                  <w14:solidFill>
                    <w14:schemeClr w14:val="tx1"/>
                  </w14:solidFill>
                </w14:textFill>
              </w:rPr>
              <w:t>指标完成情况</w:t>
            </w:r>
          </w:p>
        </w:tc>
      </w:tr>
    </w:tbl>
    <w:tbl>
      <w:tblPr>
        <w:tblStyle w:val="2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276"/>
        <w:gridCol w:w="708"/>
        <w:gridCol w:w="709"/>
        <w:gridCol w:w="709"/>
        <w:gridCol w:w="709"/>
        <w:gridCol w:w="708"/>
        <w:gridCol w:w="709"/>
        <w:gridCol w:w="710"/>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指标名称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2015年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2016年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2017年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2018年</w:t>
            </w:r>
          </w:p>
        </w:tc>
        <w:tc>
          <w:tcPr>
            <w:tcW w:w="708"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2019年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2020年</w:t>
            </w:r>
          </w:p>
        </w:tc>
        <w:tc>
          <w:tcPr>
            <w:tcW w:w="710"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预期</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目标</w:t>
            </w:r>
          </w:p>
        </w:tc>
        <w:tc>
          <w:tcPr>
            <w:tcW w:w="646" w:type="dxa"/>
            <w:tcBorders>
              <w:top w:val="single" w:color="auto" w:sz="4" w:space="0"/>
              <w:left w:val="single" w:color="auto" w:sz="4" w:space="0"/>
              <w:bottom w:val="single" w:color="auto" w:sz="4" w:space="0"/>
              <w:right w:val="single" w:color="auto" w:sz="4" w:space="0"/>
            </w:tcBorders>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是否</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公 共</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民 生</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 标</w:t>
            </w:r>
          </w:p>
        </w:tc>
        <w:tc>
          <w:tcPr>
            <w:tcW w:w="709" w:type="dxa"/>
            <w:vMerge w:val="restart"/>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11</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农村居民人均可支配收入（元）</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12352</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13167</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14003</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14899</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16249</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17224</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15466</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Merge w:val="continue"/>
            <w:vAlign w:val="center"/>
          </w:tcPr>
          <w:p>
            <w:pPr>
              <w:pStyle w:val="2"/>
              <w:jc w:val="center"/>
              <w:rPr>
                <w:color w:val="000000" w:themeColor="text1"/>
                <w:sz w:val="15"/>
                <w:szCs w:val="15"/>
                <w14:textFill>
                  <w14:solidFill>
                    <w14:schemeClr w14:val="tx1"/>
                  </w14:solidFill>
                </w14:textFill>
              </w:rPr>
            </w:pP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增长率（%）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6.3</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6.4</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9.1</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年均4.6</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12</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农村人口平均期望寿命（岁）</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82.4</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80.8</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79.7</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79.4</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78.5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77.3</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75</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13</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农村人均标准住宅使用面积</w:t>
            </w:r>
          </w:p>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（平方米）</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62.03</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62</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30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14</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农民生活信息化程度普及率（%）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90以上</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无法统计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15</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农村贫困人口是否实现稳定脱贫</w:t>
            </w:r>
          </w:p>
        </w:tc>
        <w:tc>
          <w:tcPr>
            <w:tcW w:w="708"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脱贫任务93户206人全部完成</w:t>
            </w:r>
          </w:p>
        </w:tc>
        <w:tc>
          <w:tcPr>
            <w:tcW w:w="709"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脱贫任务43户109人全部完成</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脱贫任务54户126人全部完成</w:t>
            </w:r>
          </w:p>
        </w:tc>
        <w:tc>
          <w:tcPr>
            <w:tcW w:w="708"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脱贫任务5户10人全部完成</w:t>
            </w:r>
          </w:p>
        </w:tc>
        <w:tc>
          <w:tcPr>
            <w:tcW w:w="709"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脱贫任务1户3人已提前完成</w:t>
            </w:r>
          </w:p>
        </w:tc>
        <w:tc>
          <w:tcPr>
            <w:tcW w:w="710"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农村贫困人口实现稳定脱贫</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16</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重点村屯控制性详细规划完成率（%）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63.16</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66.32</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17</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行政村道路硬化率（%）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18</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行政村屯自来水普及率（%）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83</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84</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84</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86</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91</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19</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中心村屯生活污水处理率（%）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75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87.5</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87.50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87.5</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w:t>
            </w:r>
          </w:p>
        </w:tc>
        <w:tc>
          <w:tcPr>
            <w:tcW w:w="1276" w:type="dxa"/>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中心村屯生活垃圾集中处理率（%）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95</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100</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资 源</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环 境</w:t>
            </w:r>
          </w:p>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 标</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21</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绿化覆盖率（%）</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10"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55</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无法统计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
              <w:jc w:val="center"/>
              <w:rPr>
                <w:color w:val="000000" w:themeColor="text1"/>
                <w:sz w:val="15"/>
                <w:szCs w:val="15"/>
                <w14:textFill>
                  <w14:solidFill>
                    <w14:schemeClr w14:val="tx1"/>
                  </w14:solidFill>
                </w14:textFill>
              </w:rPr>
            </w:pP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22</w:t>
            </w:r>
          </w:p>
        </w:tc>
        <w:tc>
          <w:tcPr>
            <w:tcW w:w="1276" w:type="dxa"/>
            <w:vAlign w:val="center"/>
          </w:tcPr>
          <w:p>
            <w:pPr>
              <w:pStyle w:val="2"/>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森林覆盖率（%）</w:t>
            </w:r>
          </w:p>
        </w:tc>
        <w:tc>
          <w:tcPr>
            <w:tcW w:w="708" w:type="dxa"/>
            <w:vAlign w:val="center"/>
          </w:tcPr>
          <w:p>
            <w:pPr>
              <w:pStyle w:val="2"/>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70.08</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70.18</w:t>
            </w:r>
          </w:p>
        </w:tc>
        <w:tc>
          <w:tcPr>
            <w:tcW w:w="709"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8"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709" w:type="dxa"/>
            <w:vAlign w:val="center"/>
          </w:tcPr>
          <w:p>
            <w:pPr>
              <w:pStyle w:val="2"/>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70.20</w:t>
            </w:r>
          </w:p>
        </w:tc>
        <w:tc>
          <w:tcPr>
            <w:tcW w:w="710" w:type="dxa"/>
            <w:vAlign w:val="center"/>
          </w:tcPr>
          <w:p>
            <w:pPr>
              <w:pStyle w:val="2"/>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73.00</w:t>
            </w:r>
          </w:p>
        </w:tc>
        <w:tc>
          <w:tcPr>
            <w:tcW w:w="646" w:type="dxa"/>
            <w:vAlign w:val="center"/>
          </w:tcPr>
          <w:p>
            <w:pPr>
              <w:pStyle w:val="2"/>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基本完成</w:t>
            </w:r>
          </w:p>
        </w:tc>
      </w:tr>
      <w:bookmarkEnd w:id="20"/>
    </w:tbl>
    <w:p>
      <w:pPr>
        <w:pStyle w:val="2"/>
        <w:rPr>
          <w:rFonts w:ascii="仿宋" w:hAnsi="仿宋" w:eastAsia="仿宋"/>
          <w:color w:val="000000" w:themeColor="text1"/>
          <w:szCs w:val="21"/>
          <w14:textFill>
            <w14:solidFill>
              <w14:schemeClr w14:val="tx1"/>
            </w14:solidFill>
          </w14:textFill>
        </w:rPr>
      </w:pPr>
    </w:p>
    <w:bookmarkEnd w:id="18"/>
    <w:bookmarkEnd w:id="19"/>
    <w:p>
      <w:pPr>
        <w:pStyle w:val="4"/>
        <w:spacing w:line="360" w:lineRule="auto"/>
        <w:ind w:firstLine="0" w:firstLineChars="0"/>
        <w:jc w:val="center"/>
        <w:rPr>
          <w:color w:val="000000" w:themeColor="text1"/>
          <w14:textFill>
            <w14:solidFill>
              <w14:schemeClr w14:val="tx1"/>
            </w14:solidFill>
          </w14:textFill>
        </w:rPr>
      </w:pPr>
      <w:bookmarkStart w:id="21" w:name="_Toc53698356"/>
      <w:r>
        <w:rPr>
          <w:rFonts w:hint="eastAsia"/>
          <w:color w:val="000000" w:themeColor="text1"/>
          <w14:textFill>
            <w14:solidFill>
              <w14:schemeClr w14:val="tx1"/>
            </w14:solidFill>
          </w14:textFill>
        </w:rPr>
        <w:t>第三节  “十四五”时期国民经济发展环境</w:t>
      </w:r>
      <w:bookmarkEnd w:id="21"/>
    </w:p>
    <w:p>
      <w:pPr>
        <w:tabs>
          <w:tab w:val="left" w:pos="3240"/>
        </w:tabs>
        <w:adjustRightInd w:val="0"/>
        <w:snapToGrid w:val="0"/>
        <w:spacing w:line="360" w:lineRule="auto"/>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“十四五”时期是我国“两个一百年”奋斗目标的历史交汇期， 也是全面开启社会主义现代化强国建设新征程的重要机遇期。</w:t>
      </w:r>
    </w:p>
    <w:p>
      <w:pPr>
        <w:tabs>
          <w:tab w:val="left" w:pos="3240"/>
        </w:tabs>
        <w:adjustRightInd w:val="0"/>
        <w:snapToGrid w:val="0"/>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从宏观环境看：</w:t>
      </w:r>
      <w:r>
        <w:rPr>
          <w:rFonts w:ascii="仿宋" w:hAnsi="仿宋" w:eastAsia="仿宋"/>
          <w:color w:val="000000" w:themeColor="text1"/>
          <w:sz w:val="28"/>
          <w:szCs w:val="28"/>
          <w14:textFill>
            <w14:solidFill>
              <w14:schemeClr w14:val="tx1"/>
            </w14:solidFill>
          </w14:textFill>
        </w:rPr>
        <w:t>世界发展环境正面临“百年未有之大变局”。</w:t>
      </w:r>
      <w:r>
        <w:rPr>
          <w:rFonts w:hint="eastAsia" w:ascii="仿宋" w:hAnsi="仿宋" w:eastAsia="仿宋"/>
          <w:color w:val="000000" w:themeColor="text1"/>
          <w:sz w:val="28"/>
          <w:szCs w:val="28"/>
          <w14:textFill>
            <w14:solidFill>
              <w14:schemeClr w14:val="tx1"/>
            </w14:solidFill>
          </w14:textFill>
        </w:rPr>
        <w:t>经济全球化深入发展的趋势未发生根本性改变，但逆全球化思潮和贸易保护主义抬头，将导致国际环境中不确定因素提升，现有全球治理的有效性面临挑战，全球经济治理体系不适应国际经济格局的变化，面临深刻调整。全球范围内新技术、新产业、新业态、新模式层出不穷，世界主要国家纷纷布局以绿色、低碳、智能为特征的新兴产业，把新能源、新材料等作为发展重点，新技术革命将深刻改变世界发展格局。</w:t>
      </w:r>
      <w:r>
        <w:rPr>
          <w:rFonts w:ascii="仿宋" w:hAnsi="仿宋" w:eastAsia="仿宋"/>
          <w:color w:val="000000" w:themeColor="text1"/>
          <w:sz w:val="28"/>
          <w:szCs w:val="28"/>
          <w14:textFill>
            <w14:solidFill>
              <w14:schemeClr w14:val="tx1"/>
            </w14:solidFill>
          </w14:textFill>
        </w:rPr>
        <w:t xml:space="preserve"> “十四五”是我国进入世界舞台中央的关键时期，也是形成新型大国关系的战略机遇期，如何避免外部环境干扰</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是一个巨大的考验</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这五年</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必将是中国发展变革的五年，也是突破的五年。</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从国家层面看：</w:t>
      </w:r>
      <w:r>
        <w:rPr>
          <w:rFonts w:ascii="仿宋" w:hAnsi="仿宋" w:eastAsia="仿宋"/>
          <w:color w:val="000000" w:themeColor="text1"/>
          <w:sz w:val="28"/>
          <w:szCs w:val="28"/>
          <w14:textFill>
            <w14:solidFill>
              <w14:schemeClr w14:val="tx1"/>
            </w14:solidFill>
          </w14:textFill>
        </w:rPr>
        <w:t>“十四五”时期是我国经济社会发展的重要历史性窗口期，是全面完成小康社会建设战略目标，向全面实现社会主义现代化迈进承上启下的关键时期</w:t>
      </w:r>
      <w:r>
        <w:rPr>
          <w:rFonts w:hint="eastAsia" w:ascii="仿宋" w:hAnsi="仿宋" w:eastAsia="仿宋"/>
          <w:color w:val="000000" w:themeColor="text1"/>
          <w:sz w:val="28"/>
          <w:szCs w:val="28"/>
          <w14:textFill>
            <w14:solidFill>
              <w14:schemeClr w14:val="tx1"/>
            </w14:solidFill>
          </w14:textFill>
        </w:rPr>
        <w:t>，也是我国“两个一百年”奋斗目标的历史交汇期。经济已由高速增长阶段转向高质量发展阶段，经济结构向中高端水平持续迈进，工业化转向全新的人工智能制造，市场化开始深度改革，信息化开启以</w:t>
      </w:r>
      <w:r>
        <w:rPr>
          <w:rFonts w:eastAsia="仿宋"/>
          <w:color w:val="000000" w:themeColor="text1"/>
          <w:sz w:val="28"/>
          <w:szCs w:val="28"/>
          <w14:textFill>
            <w14:solidFill>
              <w14:schemeClr w14:val="tx1"/>
            </w14:solidFill>
          </w14:textFill>
        </w:rPr>
        <w:t>5G</w:t>
      </w:r>
      <w:r>
        <w:rPr>
          <w:rFonts w:hint="eastAsia" w:ascii="仿宋" w:hAnsi="仿宋" w:eastAsia="仿宋"/>
          <w:color w:val="000000" w:themeColor="text1"/>
          <w:sz w:val="28"/>
          <w:szCs w:val="28"/>
          <w14:textFill>
            <w14:solidFill>
              <w14:schemeClr w14:val="tx1"/>
            </w14:solidFill>
          </w14:textFill>
        </w:rPr>
        <w:t>为主要标志的新一轮技术突破，对外开放深入发展，对全球经济发展的影响力、对全球经济治理的话语权大幅提升，人民获得感、幸福感明显增强，生态环境状况明显好转。经历了新冠肺炎疫情的冲击，满足国内需求已经成为发展的出发点和落脚点，未来将逐步形成以国内大循环为主体、国内国际双循环相互促进的新发展格局。</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从省市层面看：</w:t>
      </w:r>
      <w:r>
        <w:rPr>
          <w:rFonts w:hint="eastAsia" w:ascii="仿宋" w:hAnsi="仿宋" w:eastAsia="仿宋"/>
          <w:color w:val="000000" w:themeColor="text1"/>
          <w:sz w:val="28"/>
          <w:szCs w:val="28"/>
          <w14:textFill>
            <w14:solidFill>
              <w14:schemeClr w14:val="tx1"/>
            </w14:solidFill>
          </w14:textFill>
        </w:rPr>
        <w:t>辽宁经济已经走出了“十三五”初期的最困难时期，“十四五”进入振兴发展的新阶段。党中央高度重视辽宁振兴工作。党的十八大以来，以习近平同志为核心的党中央对辽宁振兴工作高度重视，多次对东北振兴、辽宁振兴做出重要指示、批示。改革创新红利持续释放，持续深化“放管服”改革，全力打造优质高效营商环境，发展活力日益增强，深度融入国家区域总体战略，贯彻落实一系列针对东北振兴的政策措施，高质量推进“一带五基地”建设、五大区域发展战略和乡村振兴战略，特别是围绕沈抚新区围绕创新发展示范区建设，打造县域经济形成“一县一业”的发展格局。</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从抚顺县层面看：</w:t>
      </w:r>
      <w:r>
        <w:rPr>
          <w:rFonts w:hint="eastAsia" w:ascii="仿宋" w:hAnsi="仿宋" w:eastAsia="仿宋"/>
          <w:color w:val="000000" w:themeColor="text1"/>
          <w:sz w:val="28"/>
          <w:szCs w:val="28"/>
          <w14:textFill>
            <w14:solidFill>
              <w14:schemeClr w14:val="tx1"/>
            </w14:solidFill>
          </w14:textFill>
        </w:rPr>
        <w:t>经济结构调整、产业融合发展、区域联动发展、乡村振兴、科技创新、将成为“十四五”发展主旋律。随着辽宁中部（沈阳-鞍山-抚顺）经济区获批国家产业转型升级示范区，沈抚改革创新示范区成为全国首家也是唯一一家改革创新示范区，抚顺县毗邻这两个示范区，发展经济发展将大有可为。此外，国家出台了《关于支持东北地区深化改革创新推动高质量发展的意见》，抚顺获批设立国家跨境电子商务综合试验区，抚顺市被国家确定为全</w:t>
      </w:r>
      <w:r>
        <w:rPr>
          <w:rFonts w:eastAsia="仿宋"/>
          <w:color w:val="000000" w:themeColor="text1"/>
          <w:sz w:val="28"/>
          <w:szCs w:val="28"/>
          <w14:textFill>
            <w14:solidFill>
              <w14:schemeClr w14:val="tx1"/>
            </w14:solidFill>
          </w14:textFill>
        </w:rPr>
        <w:t xml:space="preserve">国50 </w:t>
      </w:r>
      <w:r>
        <w:rPr>
          <w:rFonts w:hint="eastAsia" w:ascii="仿宋" w:hAnsi="仿宋" w:eastAsia="仿宋"/>
          <w:color w:val="000000" w:themeColor="text1"/>
          <w:sz w:val="28"/>
          <w:szCs w:val="28"/>
          <w14:textFill>
            <w14:solidFill>
              <w14:schemeClr w14:val="tx1"/>
            </w14:solidFill>
          </w14:textFill>
        </w:rPr>
        <w:t>个大宗固体废弃物综合利用基地之一，抚顺县</w:t>
      </w:r>
      <w:r>
        <w:rPr>
          <w:rFonts w:hint="eastAsia" w:ascii="仿宋" w:hAnsi="仿宋" w:eastAsia="仿宋"/>
          <w:bCs/>
          <w:color w:val="000000" w:themeColor="text1"/>
          <w:sz w:val="28"/>
          <w:szCs w:val="36"/>
          <w14:textFill>
            <w14:solidFill>
              <w14:schemeClr w14:val="tx1"/>
            </w14:solidFill>
          </w14:textFill>
        </w:rPr>
        <w:t>获批第二批国家应急产业示范基地（专业类），</w:t>
      </w:r>
      <w:r>
        <w:rPr>
          <w:rFonts w:hint="eastAsia" w:ascii="仿宋" w:hAnsi="仿宋" w:eastAsia="仿宋"/>
          <w:color w:val="000000" w:themeColor="text1"/>
          <w:sz w:val="28"/>
          <w:szCs w:val="28"/>
          <w14:textFill>
            <w14:solidFill>
              <w14:schemeClr w14:val="tx1"/>
            </w14:solidFill>
          </w14:textFill>
        </w:rPr>
        <w:t>这些重大战略的相继实施，必将使抚顺县的发展潜力和优势得到充分释放，为加快抚顺县新一轮全面振兴提供了根本动力和保障。</w:t>
      </w:r>
    </w:p>
    <w:p>
      <w:pPr>
        <w:pStyle w:val="4"/>
        <w:spacing w:line="360" w:lineRule="auto"/>
        <w:ind w:firstLine="0" w:firstLineChars="0"/>
        <w:jc w:val="center"/>
        <w:rPr>
          <w:color w:val="000000" w:themeColor="text1"/>
          <w14:textFill>
            <w14:solidFill>
              <w14:schemeClr w14:val="tx1"/>
            </w14:solidFill>
          </w14:textFill>
        </w:rPr>
      </w:pPr>
      <w:bookmarkStart w:id="22" w:name="_Toc53698357"/>
      <w:r>
        <w:rPr>
          <w:rFonts w:hint="eastAsia"/>
          <w:color w:val="000000" w:themeColor="text1"/>
          <w14:textFill>
            <w14:solidFill>
              <w14:schemeClr w14:val="tx1"/>
            </w14:solidFill>
          </w14:textFill>
        </w:rPr>
        <w:t xml:space="preserve">第四节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“十四五”时期的挑战与机遇</w:t>
      </w:r>
      <w:bookmarkEnd w:id="22"/>
    </w:p>
    <w:p>
      <w:pPr>
        <w:snapToGrid w:val="0"/>
        <w:spacing w:line="360" w:lineRule="auto"/>
        <w:ind w:firstLine="560" w:firstLineChars="200"/>
        <w:contextualSpacing/>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抚顺仍处于“滚石上山、爬坡过坎”的关键阶段，我县经济体量不大、发展质量不高、市场化进程不够快。由于我县属于典型的“城郊县”，“有县无城”在一定程度上导致各乡镇产业发展各自为政、缺少横向联系、城镇化水平较低、资源优势不能充分发挥。产业结构调整效果不明显，特别是</w:t>
      </w:r>
      <w:r>
        <w:rPr>
          <w:rFonts w:ascii="仿宋" w:hAnsi="仿宋" w:eastAsia="仿宋"/>
          <w:color w:val="000000" w:themeColor="text1"/>
          <w:sz w:val="28"/>
          <w:szCs w:val="28"/>
          <w14:textFill>
            <w14:solidFill>
              <w14:schemeClr w14:val="tx1"/>
            </w14:solidFill>
          </w14:textFill>
        </w:rPr>
        <w:t>矿业“一业独大</w:t>
      </w:r>
      <w:r>
        <w:rPr>
          <w:rFonts w:hint="eastAsia" w:ascii="仿宋" w:hAnsi="仿宋" w:eastAsia="仿宋"/>
          <w:color w:val="000000" w:themeColor="text1"/>
          <w:sz w:val="28"/>
          <w:szCs w:val="28"/>
          <w14:textFill>
            <w14:solidFill>
              <w14:schemeClr w14:val="tx1"/>
            </w14:solidFill>
          </w14:textFill>
        </w:rPr>
        <w:t>”、非矿等接续产业发展缓慢的局面没有根本转变。</w:t>
      </w:r>
      <w:r>
        <w:rPr>
          <w:rFonts w:hint="eastAsia" w:ascii="仿宋" w:hAnsi="仿宋" w:eastAsia="仿宋"/>
          <w:color w:val="000000" w:themeColor="text1"/>
          <w:kern w:val="0"/>
          <w:sz w:val="28"/>
          <w:szCs w:val="28"/>
          <w14:textFill>
            <w14:solidFill>
              <w14:schemeClr w14:val="tx1"/>
            </w14:solidFill>
          </w14:textFill>
        </w:rPr>
        <w:t>受</w:t>
      </w:r>
      <w:r>
        <w:rPr>
          <w:rFonts w:ascii="仿宋" w:hAnsi="仿宋" w:eastAsia="仿宋"/>
          <w:color w:val="000000" w:themeColor="text1"/>
          <w:kern w:val="0"/>
          <w:sz w:val="28"/>
          <w:szCs w:val="28"/>
          <w14:textFill>
            <w14:solidFill>
              <w14:schemeClr w14:val="tx1"/>
            </w14:solidFill>
          </w14:textFill>
        </w:rPr>
        <w:t>中美贸易摩擦</w:t>
      </w:r>
      <w:r>
        <w:rPr>
          <w:rFonts w:hint="eastAsia" w:ascii="仿宋" w:hAnsi="仿宋" w:eastAsia="仿宋"/>
          <w:color w:val="000000" w:themeColor="text1"/>
          <w:kern w:val="0"/>
          <w:sz w:val="28"/>
          <w:szCs w:val="28"/>
          <w14:textFill>
            <w14:solidFill>
              <w14:schemeClr w14:val="tx1"/>
            </w14:solidFill>
          </w14:textFill>
        </w:rPr>
        <w:t>和新冠肺炎</w:t>
      </w:r>
      <w:r>
        <w:rPr>
          <w:rFonts w:hint="eastAsia" w:ascii="仿宋" w:hAnsi="仿宋" w:eastAsia="仿宋"/>
          <w:color w:val="000000" w:themeColor="text1"/>
          <w:kern w:val="0"/>
          <w:sz w:val="28"/>
          <w:szCs w:val="28"/>
          <w:lang w:eastAsia="zh-CN"/>
          <w14:textFill>
            <w14:solidFill>
              <w14:schemeClr w14:val="tx1"/>
            </w14:solidFill>
          </w14:textFill>
        </w:rPr>
        <w:t>疫情暴发</w:t>
      </w:r>
      <w:r>
        <w:rPr>
          <w:rFonts w:hint="eastAsia" w:ascii="仿宋" w:hAnsi="仿宋" w:eastAsia="仿宋"/>
          <w:color w:val="000000" w:themeColor="text1"/>
          <w:kern w:val="0"/>
          <w:sz w:val="28"/>
          <w:szCs w:val="28"/>
          <w14:textFill>
            <w14:solidFill>
              <w14:schemeClr w14:val="tx1"/>
            </w14:solidFill>
          </w14:textFill>
        </w:rPr>
        <w:t>的影响</w:t>
      </w:r>
      <w:r>
        <w:rPr>
          <w:rFonts w:ascii="仿宋" w:hAnsi="仿宋" w:eastAsia="仿宋"/>
          <w:color w:val="000000" w:themeColor="text1"/>
          <w:kern w:val="0"/>
          <w:sz w:val="28"/>
          <w:szCs w:val="28"/>
          <w14:textFill>
            <w14:solidFill>
              <w14:schemeClr w14:val="tx1"/>
            </w14:solidFill>
          </w14:textFill>
        </w:rPr>
        <w:t>，进出口贸易大幅下滑，</w:t>
      </w:r>
      <w:r>
        <w:rPr>
          <w:rFonts w:hint="eastAsia" w:ascii="仿宋" w:hAnsi="仿宋" w:eastAsia="仿宋"/>
          <w:color w:val="000000" w:themeColor="text1"/>
          <w:kern w:val="0"/>
          <w:sz w:val="28"/>
          <w:szCs w:val="28"/>
          <w14:textFill>
            <w14:solidFill>
              <w14:schemeClr w14:val="tx1"/>
            </w14:solidFill>
          </w14:textFill>
        </w:rPr>
        <w:t>对全县主导产业之一的</w:t>
      </w:r>
      <w:r>
        <w:rPr>
          <w:rFonts w:ascii="仿宋" w:hAnsi="仿宋" w:eastAsia="仿宋"/>
          <w:color w:val="000000" w:themeColor="text1"/>
          <w:kern w:val="0"/>
          <w:sz w:val="28"/>
          <w:szCs w:val="28"/>
          <w14:textFill>
            <w14:solidFill>
              <w14:schemeClr w14:val="tx1"/>
            </w14:solidFill>
          </w14:textFill>
        </w:rPr>
        <w:t>木业</w:t>
      </w:r>
      <w:r>
        <w:rPr>
          <w:rFonts w:hint="eastAsia" w:ascii="仿宋" w:hAnsi="仿宋" w:eastAsia="仿宋"/>
          <w:color w:val="000000" w:themeColor="text1"/>
          <w:kern w:val="0"/>
          <w:sz w:val="28"/>
          <w:szCs w:val="28"/>
          <w14:textFill>
            <w14:solidFill>
              <w14:schemeClr w14:val="tx1"/>
            </w14:solidFill>
          </w14:textFill>
        </w:rPr>
        <w:t>造成</w:t>
      </w:r>
      <w:r>
        <w:rPr>
          <w:rFonts w:ascii="仿宋" w:hAnsi="仿宋" w:eastAsia="仿宋"/>
          <w:color w:val="000000" w:themeColor="text1"/>
          <w:kern w:val="0"/>
          <w:sz w:val="28"/>
          <w:szCs w:val="28"/>
          <w14:textFill>
            <w14:solidFill>
              <w14:schemeClr w14:val="tx1"/>
            </w14:solidFill>
          </w14:textFill>
        </w:rPr>
        <w:t>巨大</w:t>
      </w:r>
      <w:r>
        <w:rPr>
          <w:rFonts w:hint="eastAsia" w:ascii="仿宋" w:hAnsi="仿宋" w:eastAsia="仿宋"/>
          <w:color w:val="000000" w:themeColor="text1"/>
          <w:kern w:val="0"/>
          <w:sz w:val="28"/>
          <w:szCs w:val="28"/>
          <w14:textFill>
            <w14:solidFill>
              <w14:schemeClr w14:val="tx1"/>
            </w14:solidFill>
          </w14:textFill>
        </w:rPr>
        <w:t>冲击；</w:t>
      </w:r>
      <w:r>
        <w:rPr>
          <w:rFonts w:ascii="仿宋" w:hAnsi="仿宋" w:eastAsia="仿宋"/>
          <w:color w:val="000000" w:themeColor="text1"/>
          <w:sz w:val="28"/>
          <w:szCs w:val="28"/>
          <w14:textFill>
            <w14:solidFill>
              <w14:schemeClr w14:val="tx1"/>
            </w14:solidFill>
          </w14:textFill>
        </w:rPr>
        <w:t>受采矿证到期和环境保护政策影响，全县</w:t>
      </w:r>
      <w:r>
        <w:rPr>
          <w:rFonts w:eastAsia="仿宋"/>
          <w:color w:val="000000" w:themeColor="text1"/>
          <w:sz w:val="28"/>
          <w:szCs w:val="28"/>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t>家矿山企业</w:t>
      </w:r>
      <w:r>
        <w:rPr>
          <w:rFonts w:hint="eastAsia" w:ascii="仿宋" w:hAnsi="仿宋" w:eastAsia="仿宋"/>
          <w:color w:val="000000" w:themeColor="text1"/>
          <w:sz w:val="28"/>
          <w:szCs w:val="28"/>
          <w14:textFill>
            <w14:solidFill>
              <w14:schemeClr w14:val="tx1"/>
            </w14:solidFill>
          </w14:textFill>
        </w:rPr>
        <w:t>出现停产现象</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严重</w:t>
      </w:r>
      <w:r>
        <w:rPr>
          <w:rFonts w:ascii="仿宋" w:hAnsi="仿宋" w:eastAsia="仿宋"/>
          <w:color w:val="000000" w:themeColor="text1"/>
          <w:sz w:val="28"/>
          <w:szCs w:val="28"/>
          <w14:textFill>
            <w14:solidFill>
              <w14:schemeClr w14:val="tx1"/>
            </w14:solidFill>
          </w14:textFill>
        </w:rPr>
        <w:t>影响财税收入。</w:t>
      </w:r>
      <w:r>
        <w:rPr>
          <w:rFonts w:hint="eastAsia" w:ascii="仿宋" w:hAnsi="仿宋" w:eastAsia="仿宋"/>
          <w:color w:val="000000" w:themeColor="text1"/>
          <w:sz w:val="28"/>
          <w:szCs w:val="28"/>
          <w14:textFill>
            <w14:solidFill>
              <w14:schemeClr w14:val="tx1"/>
            </w14:solidFill>
          </w14:textFill>
        </w:rPr>
        <w:t>受</w:t>
      </w:r>
      <w:r>
        <w:rPr>
          <w:rFonts w:ascii="仿宋" w:hAnsi="仿宋" w:eastAsia="仿宋"/>
          <w:color w:val="000000" w:themeColor="text1"/>
          <w:sz w:val="28"/>
          <w:szCs w:val="28"/>
          <w14:textFill>
            <w14:solidFill>
              <w14:schemeClr w14:val="tx1"/>
            </w14:solidFill>
          </w14:textFill>
        </w:rPr>
        <w:t>牵动性大项目</w:t>
      </w:r>
      <w:r>
        <w:rPr>
          <w:rFonts w:hint="eastAsia" w:ascii="仿宋" w:hAnsi="仿宋" w:eastAsia="仿宋"/>
          <w:color w:val="000000" w:themeColor="text1"/>
          <w:sz w:val="28"/>
          <w:szCs w:val="28"/>
          <w14:textFill>
            <w14:solidFill>
              <w14:schemeClr w14:val="tx1"/>
            </w14:solidFill>
          </w14:textFill>
        </w:rPr>
        <w:t>数量</w:t>
      </w:r>
      <w:r>
        <w:rPr>
          <w:rFonts w:ascii="仿宋" w:hAnsi="仿宋" w:eastAsia="仿宋"/>
          <w:color w:val="000000" w:themeColor="text1"/>
          <w:sz w:val="28"/>
          <w:szCs w:val="28"/>
          <w14:textFill>
            <w14:solidFill>
              <w14:schemeClr w14:val="tx1"/>
            </w14:solidFill>
          </w14:textFill>
        </w:rPr>
        <w:t>不</w:t>
      </w:r>
      <w:r>
        <w:rPr>
          <w:rFonts w:hint="eastAsia" w:ascii="仿宋" w:hAnsi="仿宋" w:eastAsia="仿宋"/>
          <w:color w:val="000000" w:themeColor="text1"/>
          <w:sz w:val="28"/>
          <w:szCs w:val="28"/>
          <w14:textFill>
            <w14:solidFill>
              <w14:schemeClr w14:val="tx1"/>
            </w14:solidFill>
          </w14:textFill>
        </w:rPr>
        <w:t>足影响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固定资产投资</w:t>
      </w:r>
      <w:r>
        <w:rPr>
          <w:rFonts w:ascii="仿宋" w:hAnsi="仿宋" w:eastAsia="仿宋"/>
          <w:color w:val="000000" w:themeColor="text1"/>
          <w:sz w:val="28"/>
          <w:szCs w:val="28"/>
          <w14:textFill>
            <w14:solidFill>
              <w14:schemeClr w14:val="tx1"/>
            </w14:solidFill>
          </w14:textFill>
        </w:rPr>
        <w:t>增长乏力。</w:t>
      </w:r>
      <w:r>
        <w:rPr>
          <w:rFonts w:hint="eastAsia" w:ascii="仿宋" w:hAnsi="仿宋" w:eastAsia="仿宋"/>
          <w:bCs/>
          <w:color w:val="000000" w:themeColor="text1"/>
          <w:sz w:val="28"/>
          <w:szCs w:val="28"/>
          <w14:textFill>
            <w14:solidFill>
              <w14:schemeClr w14:val="tx1"/>
            </w14:solidFill>
          </w14:textFill>
        </w:rPr>
        <w:t>我县</w:t>
      </w:r>
      <w:r>
        <w:rPr>
          <w:rFonts w:hint="eastAsia" w:ascii="仿宋" w:hAnsi="仿宋" w:eastAsia="仿宋"/>
          <w:color w:val="000000" w:themeColor="text1"/>
          <w:sz w:val="28"/>
          <w:szCs w:val="28"/>
          <w14:textFill>
            <w14:solidFill>
              <w14:schemeClr w14:val="tx1"/>
            </w14:solidFill>
          </w14:textFill>
        </w:rPr>
        <w:t>创新驱动作用没有充分发挥，民营经济发展缓慢，财政保障能力偏弱，保就业、保运转、保基本民生压力持续增大，民生事业、基础设施等领域短板尚未补齐，人口流失、深度老龄化等社会问题凸显。“十四五”时期，以“稳增长”为目标，继续贯彻落实“六保”、“六稳”任务依然是我县未来五年发展方向和开展工作的落脚点。面对国内外日益复杂多变的环境，我县统筹加强各项事业的治理能力和防范化解重大风险能力仍有待提升。</w:t>
      </w:r>
    </w:p>
    <w:p>
      <w:pPr>
        <w:snapToGrid w:val="0"/>
        <w:spacing w:line="360" w:lineRule="auto"/>
        <w:ind w:firstLine="560" w:firstLineChars="200"/>
        <w:contextualSpacing/>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危和机同生并存，抚顺县经济社会发展在遇到挑战的同时，也面临着重大的发展机遇。《关于全面振兴东北地区等老工业基地的若干意见》（中发[</w:t>
      </w:r>
      <w:r>
        <w:rPr>
          <w:rFonts w:ascii="仿宋" w:hAnsi="仿宋" w:eastAsia="仿宋"/>
          <w:color w:val="000000" w:themeColor="text1"/>
          <w:sz w:val="28"/>
          <w:szCs w:val="28"/>
          <w14:textFill>
            <w14:solidFill>
              <w14:schemeClr w14:val="tx1"/>
            </w14:solidFill>
          </w14:textFill>
        </w:rPr>
        <w:t>2016]</w:t>
      </w:r>
      <w:r>
        <w:rPr>
          <w:rFonts w:hint="eastAsia" w:ascii="仿宋" w:hAnsi="仿宋" w:eastAsia="仿宋"/>
          <w:color w:val="000000" w:themeColor="text1"/>
          <w:sz w:val="28"/>
          <w:szCs w:val="28"/>
          <w14:textFill>
            <w14:solidFill>
              <w14:schemeClr w14:val="tx1"/>
            </w14:solidFill>
          </w14:textFill>
        </w:rPr>
        <w:t>7号）、</w:t>
      </w:r>
      <w:r>
        <w:rPr>
          <w:rFonts w:ascii="仿宋" w:hAnsi="仿宋" w:eastAsia="仿宋"/>
          <w:color w:val="000000" w:themeColor="text1"/>
          <w:sz w:val="28"/>
          <w:szCs w:val="28"/>
          <w14:textFill>
            <w14:solidFill>
              <w14:schemeClr w14:val="tx1"/>
            </w14:solidFill>
          </w14:textFill>
        </w:rPr>
        <w:t>《关于支持东北地区深化改革创新推动高质量发展的意见》（中发</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2019]37号）</w:t>
      </w:r>
      <w:r>
        <w:rPr>
          <w:rFonts w:hint="eastAsia" w:ascii="仿宋" w:hAnsi="仿宋" w:eastAsia="仿宋"/>
          <w:color w:val="000000" w:themeColor="text1"/>
          <w:sz w:val="28"/>
          <w:szCs w:val="28"/>
          <w14:textFill>
            <w14:solidFill>
              <w14:schemeClr w14:val="tx1"/>
            </w14:solidFill>
          </w14:textFill>
        </w:rPr>
        <w:t>等文件，积蓄的政策红利加快叠加释放，</w:t>
      </w:r>
      <w:r>
        <w:rPr>
          <w:rFonts w:ascii="仿宋" w:hAnsi="仿宋" w:eastAsia="仿宋"/>
          <w:color w:val="000000" w:themeColor="text1"/>
          <w:kern w:val="0"/>
          <w:sz w:val="28"/>
          <w:szCs w:val="28"/>
          <w14:textFill>
            <w14:solidFill>
              <w14:schemeClr w14:val="tx1"/>
            </w14:solidFill>
          </w14:textFill>
        </w:rPr>
        <w:t>为抚顺县经济</w:t>
      </w:r>
      <w:r>
        <w:rPr>
          <w:rFonts w:hint="eastAsia" w:ascii="仿宋" w:hAnsi="仿宋" w:eastAsia="仿宋"/>
          <w:color w:val="000000" w:themeColor="text1"/>
          <w:kern w:val="0"/>
          <w:sz w:val="28"/>
          <w:szCs w:val="28"/>
          <w14:textFill>
            <w14:solidFill>
              <w14:schemeClr w14:val="tx1"/>
            </w14:solidFill>
          </w14:textFill>
        </w:rPr>
        <w:t>社会</w:t>
      </w:r>
      <w:r>
        <w:rPr>
          <w:rFonts w:ascii="仿宋" w:hAnsi="仿宋" w:eastAsia="仿宋"/>
          <w:color w:val="000000" w:themeColor="text1"/>
          <w:kern w:val="0"/>
          <w:sz w:val="28"/>
          <w:szCs w:val="28"/>
          <w14:textFill>
            <w14:solidFill>
              <w14:schemeClr w14:val="tx1"/>
            </w14:solidFill>
          </w14:textFill>
        </w:rPr>
        <w:t>发展注入新的动力和活力。</w:t>
      </w:r>
      <w:r>
        <w:rPr>
          <w:rFonts w:hint="eastAsia" w:ascii="仿宋" w:hAnsi="仿宋" w:eastAsia="仿宋"/>
          <w:color w:val="000000" w:themeColor="text1"/>
          <w:kern w:val="0"/>
          <w:sz w:val="28"/>
          <w:szCs w:val="28"/>
          <w14:textFill>
            <w14:solidFill>
              <w14:schemeClr w14:val="tx1"/>
            </w14:solidFill>
          </w14:textFill>
        </w:rPr>
        <w:t>随着</w:t>
      </w:r>
      <w:r>
        <w:rPr>
          <w:rFonts w:ascii="仿宋" w:hAnsi="仿宋" w:eastAsia="仿宋"/>
          <w:color w:val="000000" w:themeColor="text1"/>
          <w:kern w:val="0"/>
          <w:sz w:val="28"/>
          <w:szCs w:val="28"/>
          <w14:textFill>
            <w14:solidFill>
              <w14:schemeClr w14:val="tx1"/>
            </w14:solidFill>
          </w14:textFill>
        </w:rPr>
        <w:t>抚顺县</w:t>
      </w:r>
      <w:r>
        <w:rPr>
          <w:rFonts w:ascii="仿宋" w:hAnsi="仿宋" w:eastAsia="仿宋"/>
          <w:color w:val="000000" w:themeColor="text1"/>
          <w:sz w:val="28"/>
          <w:szCs w:val="28"/>
          <w14:textFill>
            <w14:solidFill>
              <w14:schemeClr w14:val="tx1"/>
            </w14:solidFill>
          </w14:textFill>
        </w:rPr>
        <w:t>“两谷一带”战略的深入实施，</w:t>
      </w:r>
      <w:r>
        <w:rPr>
          <w:rFonts w:hint="eastAsia" w:ascii="仿宋" w:hAnsi="仿宋" w:eastAsia="仿宋"/>
          <w:color w:val="000000" w:themeColor="text1"/>
          <w:sz w:val="28"/>
          <w:szCs w:val="28"/>
          <w14:textFill>
            <w14:solidFill>
              <w14:schemeClr w14:val="tx1"/>
            </w14:solidFill>
          </w14:textFill>
        </w:rPr>
        <w:t>各类要素向园区集聚，园区的承载能力日益增强，牵动和带动作用日益增强，</w:t>
      </w:r>
      <w:r>
        <w:rPr>
          <w:rFonts w:ascii="仿宋" w:hAnsi="仿宋" w:eastAsia="仿宋"/>
          <w:color w:val="000000" w:themeColor="text1"/>
          <w:sz w:val="28"/>
          <w:szCs w:val="28"/>
          <w14:textFill>
            <w14:solidFill>
              <w14:schemeClr w14:val="tx1"/>
            </w14:solidFill>
          </w14:textFill>
        </w:rPr>
        <w:t>以产业园区为载体、以龙头企业为牵动、以优势产业为依托的多点支撑发展格局初步形成，经济发展实现触底反弹、企稳回升。</w:t>
      </w:r>
      <w:r>
        <w:rPr>
          <w:rFonts w:hint="eastAsia" w:ascii="仿宋" w:hAnsi="仿宋" w:eastAsia="仿宋"/>
          <w:color w:val="000000" w:themeColor="text1"/>
          <w:sz w:val="28"/>
          <w:szCs w:val="28"/>
          <w:shd w:val="clear" w:color="auto" w:fill="FFFFFF"/>
          <w14:textFill>
            <w14:solidFill>
              <w14:schemeClr w14:val="tx1"/>
            </w14:solidFill>
          </w14:textFill>
        </w:rPr>
        <w:t>随着经济开发区建设的推进，我县经济承载力的空间得到进一步拓展，建设用地的调整也为我县发展工业企业、搞项目建设在土地要素方面给予一定支持。</w:t>
      </w:r>
      <w:r>
        <w:rPr>
          <w:rFonts w:ascii="仿宋" w:hAnsi="仿宋" w:eastAsia="仿宋"/>
          <w:color w:val="000000" w:themeColor="text1"/>
          <w:sz w:val="28"/>
          <w:szCs w:val="28"/>
          <w14:textFill>
            <w14:solidFill>
              <w14:schemeClr w14:val="tx1"/>
            </w14:solidFill>
          </w14:textFill>
        </w:rPr>
        <w:t>随着三块石省级自然保护区、大伙房水源保护区的调整，一些制约发展的瓶颈问题</w:t>
      </w:r>
      <w:r>
        <w:rPr>
          <w:rFonts w:hint="eastAsia" w:ascii="仿宋" w:hAnsi="仿宋" w:eastAsia="仿宋"/>
          <w:color w:val="000000" w:themeColor="text1"/>
          <w:sz w:val="28"/>
          <w:szCs w:val="28"/>
          <w14:textFill>
            <w14:solidFill>
              <w14:schemeClr w14:val="tx1"/>
            </w14:solidFill>
          </w14:textFill>
        </w:rPr>
        <w:t>得到有</w:t>
      </w:r>
      <w:r>
        <w:rPr>
          <w:rFonts w:ascii="仿宋" w:hAnsi="仿宋" w:eastAsia="仿宋"/>
          <w:color w:val="000000" w:themeColor="text1"/>
          <w:sz w:val="28"/>
          <w:szCs w:val="28"/>
          <w14:textFill>
            <w14:solidFill>
              <w14:schemeClr w14:val="tx1"/>
            </w14:solidFill>
          </w14:textFill>
        </w:rPr>
        <w:t>效解决，</w:t>
      </w:r>
      <w:r>
        <w:rPr>
          <w:rFonts w:hint="eastAsia" w:ascii="仿宋" w:hAnsi="仿宋" w:eastAsia="仿宋"/>
          <w:color w:val="000000" w:themeColor="text1"/>
          <w:sz w:val="28"/>
          <w:szCs w:val="28"/>
          <w14:textFill>
            <w14:solidFill>
              <w14:schemeClr w14:val="tx1"/>
            </w14:solidFill>
          </w14:textFill>
        </w:rPr>
        <w:t>以三块石为核心的</w:t>
      </w:r>
      <w:r>
        <w:rPr>
          <w:rFonts w:ascii="仿宋" w:hAnsi="仿宋" w:eastAsia="仿宋"/>
          <w:color w:val="000000" w:themeColor="text1"/>
          <w:sz w:val="28"/>
          <w:szCs w:val="28"/>
          <w:shd w:val="clear" w:color="auto" w:fill="FFFFFF"/>
          <w14:textFill>
            <w14:solidFill>
              <w14:schemeClr w14:val="tx1"/>
            </w14:solidFill>
          </w14:textFill>
        </w:rPr>
        <w:t>天女山</w:t>
      </w:r>
      <w:r>
        <w:rPr>
          <w:rFonts w:ascii="仿宋" w:hAnsi="仿宋" w:eastAsia="仿宋"/>
          <w:bCs/>
          <w:color w:val="000000" w:themeColor="text1"/>
          <w:sz w:val="28"/>
          <w:szCs w:val="28"/>
          <w14:textFill>
            <w14:solidFill>
              <w14:schemeClr w14:val="tx1"/>
            </w14:solidFill>
          </w14:textFill>
        </w:rPr>
        <w:t>·</w:t>
      </w:r>
      <w:r>
        <w:rPr>
          <w:rFonts w:ascii="仿宋" w:hAnsi="仿宋" w:eastAsia="仿宋"/>
          <w:color w:val="000000" w:themeColor="text1"/>
          <w:sz w:val="28"/>
          <w:szCs w:val="28"/>
          <w:shd w:val="clear" w:color="auto" w:fill="FFFFFF"/>
          <w14:textFill>
            <w14:solidFill>
              <w14:schemeClr w14:val="tx1"/>
            </w14:solidFill>
          </w14:textFill>
        </w:rPr>
        <w:t>三块石旅游集聚区</w:t>
      </w:r>
      <w:r>
        <w:rPr>
          <w:rFonts w:hint="eastAsia" w:ascii="仿宋" w:hAnsi="仿宋" w:eastAsia="仿宋"/>
          <w:color w:val="000000" w:themeColor="text1"/>
          <w:sz w:val="28"/>
          <w:szCs w:val="28"/>
          <w:shd w:val="clear" w:color="auto" w:fill="FFFFFF"/>
          <w14:textFill>
            <w14:solidFill>
              <w14:schemeClr w14:val="tx1"/>
            </w14:solidFill>
          </w14:textFill>
        </w:rPr>
        <w:t>的发展优势日益明显。随着全县区域融合、产业融合、信息化和工业化融合的深入，人力、土地等要素成本比较优势日益显现，我县参与沈阳经济区、辽中南城市群等区域经济协同发展的深度和广度不断扩大，沈抚改革示范区建</w:t>
      </w:r>
      <w:r>
        <w:rPr>
          <w:rFonts w:eastAsia="仿宋"/>
          <w:color w:val="000000" w:themeColor="text1"/>
          <w:sz w:val="28"/>
          <w:szCs w:val="28"/>
          <w:shd w:val="clear" w:color="auto" w:fill="FFFFFF"/>
          <w14:textFill>
            <w14:solidFill>
              <w14:schemeClr w14:val="tx1"/>
            </w14:solidFill>
          </w14:textFill>
        </w:rPr>
        <w:t>设，为我县经济社会发展提供广阔空间。以工业互联网、大数据中心、5G</w:t>
      </w:r>
      <w:r>
        <w:rPr>
          <w:rFonts w:hint="eastAsia" w:ascii="仿宋" w:hAnsi="仿宋" w:eastAsia="仿宋"/>
          <w:color w:val="000000" w:themeColor="text1"/>
          <w:sz w:val="28"/>
          <w:szCs w:val="28"/>
          <w:shd w:val="clear" w:color="auto" w:fill="FFFFFF"/>
          <w14:textFill>
            <w14:solidFill>
              <w14:schemeClr w14:val="tx1"/>
            </w14:solidFill>
          </w14:textFill>
        </w:rPr>
        <w:t>建设为代表的新基建为我县经济社会发展提供重要载体。我县还拥有丰富的文化资源和历史底蕴，在产业融合发展中能够将这些资源优势转化为发展优势，带动经济社会高质量发展。同时，各级政府制定的灵活有效的财政政策、货币政策为我县应对新冠肺炎疫情冲击、全面实现复工复产达产提供了有力支撑。“十四五”时期，我县要牢牢抓住这些利好和机遇，推动抚顺县经济社会高质量发展，努力实现振兴发展。</w:t>
      </w:r>
    </w:p>
    <w:p>
      <w:pPr>
        <w:snapToGrid w:val="0"/>
        <w:spacing w:line="360" w:lineRule="auto"/>
        <w:ind w:firstLine="560" w:firstLineChars="200"/>
        <w:contextualSpacing/>
        <w:rPr>
          <w:rFonts w:ascii="仿宋" w:hAnsi="仿宋" w:eastAsia="仿宋"/>
          <w:color w:val="000000" w:themeColor="text1"/>
          <w:sz w:val="28"/>
          <w:szCs w:val="28"/>
          <w:shd w:val="clear" w:color="auto" w:fill="FFFFFF"/>
          <w14:textFill>
            <w14:solidFill>
              <w14:schemeClr w14:val="tx1"/>
            </w14:solidFill>
          </w14:textFill>
        </w:rPr>
      </w:pPr>
    </w:p>
    <w:p>
      <w:pPr>
        <w:pStyle w:val="2"/>
        <w:rPr>
          <w:color w:val="000000" w:themeColor="text1"/>
          <w14:textFill>
            <w14:solidFill>
              <w14:schemeClr w14:val="tx1"/>
            </w14:solidFill>
          </w14:textFill>
        </w:rPr>
      </w:pPr>
      <w:bookmarkStart w:id="23" w:name="_Toc432623349"/>
      <w:bookmarkStart w:id="24" w:name="_Toc432623609"/>
      <w:bookmarkStart w:id="25" w:name="_Toc432622962"/>
      <w:r>
        <w:rPr>
          <w:color w:val="000000" w:themeColor="text1"/>
          <w14:textFill>
            <w14:solidFill>
              <w14:schemeClr w14:val="tx1"/>
            </w14:solidFill>
          </w14:textFill>
        </w:rPr>
        <w:br w:type="page"/>
      </w:r>
    </w:p>
    <w:p>
      <w:pPr>
        <w:pStyle w:val="3"/>
        <w:jc w:val="center"/>
        <w:rPr>
          <w:rFonts w:ascii="仿宋" w:hAnsi="仿宋" w:eastAsia="仿宋"/>
          <w:b/>
          <w:bCs w:val="0"/>
          <w:color w:val="000000" w:themeColor="text1"/>
          <w14:textFill>
            <w14:solidFill>
              <w14:schemeClr w14:val="tx1"/>
            </w14:solidFill>
          </w14:textFill>
        </w:rPr>
      </w:pPr>
      <w:bookmarkStart w:id="26" w:name="_Toc53698358"/>
      <w:r>
        <w:rPr>
          <w:rFonts w:hint="eastAsia" w:ascii="仿宋" w:hAnsi="仿宋" w:eastAsia="仿宋"/>
          <w:b/>
          <w:bCs w:val="0"/>
          <w:color w:val="000000" w:themeColor="text1"/>
          <w14:textFill>
            <w14:solidFill>
              <w14:schemeClr w14:val="tx1"/>
            </w14:solidFill>
          </w14:textFill>
        </w:rPr>
        <w:t>第二章 “十四五”规划总体要求</w:t>
      </w:r>
      <w:bookmarkEnd w:id="23"/>
      <w:bookmarkEnd w:id="24"/>
      <w:bookmarkEnd w:id="25"/>
      <w:bookmarkEnd w:id="26"/>
    </w:p>
    <w:p>
      <w:pPr>
        <w:pStyle w:val="4"/>
        <w:spacing w:line="360" w:lineRule="auto"/>
        <w:ind w:firstLine="0" w:firstLineChars="0"/>
        <w:jc w:val="center"/>
        <w:rPr>
          <w:color w:val="000000" w:themeColor="text1"/>
          <w14:textFill>
            <w14:solidFill>
              <w14:schemeClr w14:val="tx1"/>
            </w14:solidFill>
          </w14:textFill>
        </w:rPr>
      </w:pPr>
      <w:bookmarkStart w:id="27" w:name="_Toc53698359"/>
      <w:r>
        <w:rPr>
          <w:rFonts w:hint="eastAsia"/>
          <w:color w:val="000000" w:themeColor="text1"/>
          <w14:textFill>
            <w14:solidFill>
              <w14:schemeClr w14:val="tx1"/>
            </w14:solidFill>
          </w14:textFill>
        </w:rPr>
        <w:t>第一节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“十四五”规划</w:t>
      </w:r>
      <w:r>
        <w:rPr>
          <w:color w:val="000000" w:themeColor="text1"/>
          <w14:textFill>
            <w14:solidFill>
              <w14:schemeClr w14:val="tx1"/>
            </w14:solidFill>
          </w14:textFill>
        </w:rPr>
        <w:t>指导思想</w:t>
      </w:r>
      <w:bookmarkEnd w:id="27"/>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为全面推进好“十四五”时期的各项工作，抚顺县坚持</w:t>
      </w:r>
      <w:r>
        <w:rPr>
          <w:rFonts w:hint="eastAsia" w:ascii="仿宋" w:hAnsi="仿宋" w:eastAsia="仿宋"/>
          <w:color w:val="000000" w:themeColor="text1"/>
          <w:kern w:val="0"/>
          <w:sz w:val="28"/>
          <w:szCs w:val="28"/>
          <w14:textFill>
            <w14:solidFill>
              <w14:schemeClr w14:val="tx1"/>
            </w14:solidFill>
          </w14:textFill>
        </w:rPr>
        <w:t>深入学习贯彻</w:t>
      </w:r>
      <w:r>
        <w:rPr>
          <w:rFonts w:ascii="仿宋" w:hAnsi="仿宋" w:eastAsia="仿宋"/>
          <w:color w:val="000000" w:themeColor="text1"/>
          <w:kern w:val="0"/>
          <w:sz w:val="28"/>
          <w:szCs w:val="28"/>
          <w14:textFill>
            <w14:solidFill>
              <w14:schemeClr w14:val="tx1"/>
            </w14:solidFill>
          </w14:textFill>
        </w:rPr>
        <w:t>习近平新时代中国特色社会主义思想</w:t>
      </w:r>
      <w:r>
        <w:rPr>
          <w:rFonts w:hint="eastAsia" w:ascii="仿宋" w:hAnsi="仿宋" w:eastAsia="仿宋"/>
          <w:color w:val="000000" w:themeColor="text1"/>
          <w:kern w:val="0"/>
          <w:sz w:val="28"/>
          <w:szCs w:val="28"/>
          <w14:textFill>
            <w14:solidFill>
              <w14:schemeClr w14:val="tx1"/>
            </w14:solidFill>
          </w14:textFill>
        </w:rPr>
        <w:t>，全面贯彻党的十九大和</w:t>
      </w:r>
      <w:r>
        <w:rPr>
          <w:rFonts w:ascii="仿宋" w:hAnsi="仿宋" w:eastAsia="仿宋"/>
          <w:color w:val="000000" w:themeColor="text1"/>
          <w:kern w:val="0"/>
          <w:sz w:val="28"/>
          <w:szCs w:val="28"/>
          <w14:textFill>
            <w14:solidFill>
              <w14:schemeClr w14:val="tx1"/>
            </w14:solidFill>
          </w14:textFill>
        </w:rPr>
        <w:t>十九届二中、三中、四中全会精神，</w:t>
      </w:r>
      <w:r>
        <w:rPr>
          <w:rFonts w:hint="eastAsia" w:ascii="仿宋" w:hAnsi="仿宋" w:eastAsia="仿宋" w:cs="仿宋"/>
          <w:color w:val="000000" w:themeColor="text1"/>
          <w:sz w:val="28"/>
          <w:szCs w:val="28"/>
          <w14:textFill>
            <w14:solidFill>
              <w14:schemeClr w14:val="tx1"/>
            </w14:solidFill>
          </w14:textFill>
        </w:rPr>
        <w:t>统筹推进“五位一体”总体布局，协调推进“四个全面”战略布局，聚焦补齐“四个短板”，扎实推进“六项重点工作”，着重抓好“三项重点任务”，扎实做好“六稳”工作、全面落实“六保”任务，牢牢把握并用好融入沈抚示范区和沈阳经济区战略机遇，坚持以供给侧结构性改革为主线，</w:t>
      </w:r>
      <w:r>
        <w:rPr>
          <w:rFonts w:ascii="仿宋" w:hAnsi="仿宋" w:eastAsia="仿宋"/>
          <w:color w:val="000000" w:themeColor="text1"/>
          <w:kern w:val="0"/>
          <w:sz w:val="28"/>
          <w:szCs w:val="28"/>
          <w14:textFill>
            <w14:solidFill>
              <w14:schemeClr w14:val="tx1"/>
            </w14:solidFill>
          </w14:textFill>
        </w:rPr>
        <w:t>深入贯彻落实习近平总书记在辽宁考察时和深入推进东北振兴座谈会上的重要讲话精神，</w:t>
      </w:r>
      <w:r>
        <w:rPr>
          <w:rFonts w:hint="eastAsia" w:ascii="仿宋" w:hAnsi="仿宋" w:eastAsia="仿宋"/>
          <w:color w:val="000000" w:themeColor="text1"/>
          <w:kern w:val="0"/>
          <w:sz w:val="28"/>
          <w:szCs w:val="28"/>
          <w14:textFill>
            <w14:solidFill>
              <w14:schemeClr w14:val="tx1"/>
            </w14:solidFill>
          </w14:textFill>
        </w:rPr>
        <w:t>全面落实</w:t>
      </w:r>
      <w:r>
        <w:rPr>
          <w:rFonts w:ascii="仿宋" w:hAnsi="仿宋" w:eastAsia="仿宋"/>
          <w:color w:val="000000" w:themeColor="text1"/>
          <w:sz w:val="28"/>
          <w:szCs w:val="28"/>
          <w14:textFill>
            <w14:solidFill>
              <w14:schemeClr w14:val="tx1"/>
            </w14:solidFill>
          </w14:textFill>
        </w:rPr>
        <w:t>《关于支持东北地区深化改革创新推动高质量发展的意见》（中发</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2019]37号）</w:t>
      </w:r>
      <w:r>
        <w:rPr>
          <w:rFonts w:hint="eastAsia" w:ascii="仿宋" w:hAnsi="仿宋" w:eastAsia="仿宋"/>
          <w:color w:val="000000" w:themeColor="text1"/>
          <w:sz w:val="28"/>
          <w:szCs w:val="28"/>
          <w14:textFill>
            <w14:solidFill>
              <w14:schemeClr w14:val="tx1"/>
            </w14:solidFill>
          </w14:textFill>
        </w:rPr>
        <w:t>等文件</w:t>
      </w:r>
      <w:r>
        <w:rPr>
          <w:rFonts w:hint="eastAsia" w:ascii="仿宋" w:hAnsi="仿宋" w:eastAsia="仿宋"/>
          <w:color w:val="000000" w:themeColor="text1"/>
          <w:kern w:val="0"/>
          <w:sz w:val="28"/>
          <w:szCs w:val="28"/>
          <w14:textFill>
            <w14:solidFill>
              <w14:schemeClr w14:val="tx1"/>
            </w14:solidFill>
          </w14:textFill>
        </w:rPr>
        <w:t>精神，</w:t>
      </w:r>
      <w:r>
        <w:rPr>
          <w:rFonts w:hint="eastAsia" w:ascii="仿宋" w:hAnsi="仿宋" w:eastAsia="仿宋" w:cs="仿宋"/>
          <w:color w:val="000000" w:themeColor="text1"/>
          <w:sz w:val="28"/>
          <w:szCs w:val="28"/>
          <w14:textFill>
            <w14:solidFill>
              <w14:schemeClr w14:val="tx1"/>
            </w14:solidFill>
          </w14:textFill>
        </w:rPr>
        <w:t>紧紧围绕坚持稳中求进工作总基调，坚持以人民为中心的发展思想，推进抚顺县全面振兴、全方位振兴。</w:t>
      </w:r>
    </w:p>
    <w:p>
      <w:pPr>
        <w:pStyle w:val="4"/>
        <w:spacing w:line="360" w:lineRule="auto"/>
        <w:ind w:firstLine="560"/>
        <w:jc w:val="center"/>
        <w:rPr>
          <w:color w:val="000000" w:themeColor="text1"/>
          <w14:textFill>
            <w14:solidFill>
              <w14:schemeClr w14:val="tx1"/>
            </w14:solidFill>
          </w14:textFill>
        </w:rPr>
      </w:pPr>
      <w:bookmarkStart w:id="28" w:name="_Toc53698360"/>
      <w:r>
        <w:rPr>
          <w:rFonts w:hint="eastAsia"/>
          <w:color w:val="000000" w:themeColor="text1"/>
          <w14:textFill>
            <w14:solidFill>
              <w14:schemeClr w14:val="tx1"/>
            </w14:solidFill>
          </w14:textFill>
        </w:rPr>
        <w:t>第二节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“十四五”规划</w:t>
      </w:r>
      <w:r>
        <w:rPr>
          <w:color w:val="000000" w:themeColor="text1"/>
          <w14:textFill>
            <w14:solidFill>
              <w14:schemeClr w14:val="tx1"/>
            </w14:solidFill>
          </w14:textFill>
        </w:rPr>
        <w:t>基本原则</w:t>
      </w:r>
      <w:bookmarkEnd w:id="28"/>
    </w:p>
    <w:p>
      <w:pPr>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——坚持稳定增长和质量优先相统筹。</w:t>
      </w:r>
      <w:r>
        <w:rPr>
          <w:rFonts w:hint="eastAsia" w:ascii="仿宋" w:hAnsi="仿宋" w:eastAsia="仿宋"/>
          <w:bCs/>
          <w:color w:val="000000" w:themeColor="text1"/>
          <w:sz w:val="28"/>
          <w:szCs w:val="28"/>
          <w14:textFill>
            <w14:solidFill>
              <w14:schemeClr w14:val="tx1"/>
            </w14:solidFill>
          </w14:textFill>
        </w:rPr>
        <w:t>结合国内外形势的变化，贯彻“六稳”“六保”任务要求，坚持质量优先原则，保持战略定力，增强发展自信，提升内生增长动力，促进经济高质量发展。</w:t>
      </w:r>
      <w:r>
        <w:rPr>
          <w:rFonts w:ascii="仿宋" w:hAnsi="仿宋" w:eastAsia="仿宋"/>
          <w:bCs/>
          <w:color w:val="000000" w:themeColor="text1"/>
          <w:sz w:val="28"/>
          <w:szCs w:val="28"/>
          <w14:textFill>
            <w14:solidFill>
              <w14:schemeClr w14:val="tx1"/>
            </w14:solidFill>
          </w14:textFill>
        </w:rPr>
        <w:t xml:space="preserve"> </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——坚持有效市场和有为政府相协调。</w:t>
      </w:r>
      <w:r>
        <w:rPr>
          <w:rFonts w:hint="eastAsia" w:ascii="仿宋" w:hAnsi="仿宋" w:eastAsia="仿宋"/>
          <w:color w:val="000000" w:themeColor="text1"/>
          <w:sz w:val="28"/>
          <w:szCs w:val="28"/>
          <w14:textFill>
            <w14:solidFill>
              <w14:schemeClr w14:val="tx1"/>
            </w14:solidFill>
          </w14:textFill>
        </w:rPr>
        <w:t>顺应市场需求变化，充分发挥市场配置资源的决定性作用，促进要素资源高效配置。加快转变政府职能，为市场发育创造条件，带动观念转变、思想解放、营商环境改。</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——坚持补齐短板和壮大优势相结合。</w:t>
      </w:r>
      <w:r>
        <w:rPr>
          <w:rFonts w:hint="eastAsia" w:ascii="仿宋" w:hAnsi="仿宋" w:eastAsia="仿宋"/>
          <w:bCs/>
          <w:color w:val="000000" w:themeColor="text1"/>
          <w:sz w:val="28"/>
          <w:szCs w:val="28"/>
          <w14:textFill>
            <w14:solidFill>
              <w14:schemeClr w14:val="tx1"/>
            </w14:solidFill>
          </w14:textFill>
        </w:rPr>
        <w:t>在壮大传统优势产业的同时，找准新动能、产业链、市场主体、民生事业等方面的短板，明确产业布局、完善产业发展空间，确定重点任务。</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——坚持深化改革和开放合作为主线。</w:t>
      </w:r>
      <w:r>
        <w:rPr>
          <w:rFonts w:hint="eastAsia" w:ascii="仿宋" w:hAnsi="仿宋" w:eastAsia="仿宋"/>
          <w:color w:val="000000" w:themeColor="text1"/>
          <w:sz w:val="28"/>
          <w:szCs w:val="28"/>
          <w14:textFill>
            <w14:solidFill>
              <w14:schemeClr w14:val="tx1"/>
            </w14:solidFill>
          </w14:textFill>
        </w:rPr>
        <w:t>以深化改革破解发展中存在的困难和问题，以</w:t>
      </w:r>
      <w:r>
        <w:rPr>
          <w:rFonts w:ascii="仿宋" w:hAnsi="仿宋" w:eastAsia="仿宋"/>
          <w:color w:val="000000" w:themeColor="text1"/>
          <w:sz w:val="28"/>
          <w:szCs w:val="28"/>
          <w14:textFill>
            <w14:solidFill>
              <w14:schemeClr w14:val="tx1"/>
            </w14:solidFill>
          </w14:textFill>
        </w:rPr>
        <w:t>简政放权</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依法行政，增强发展活力</w:t>
      </w:r>
      <w:r>
        <w:rPr>
          <w:rFonts w:hint="eastAsia" w:ascii="仿宋" w:hAnsi="仿宋" w:eastAsia="仿宋"/>
          <w:color w:val="000000" w:themeColor="text1"/>
          <w:sz w:val="28"/>
          <w:szCs w:val="28"/>
          <w14:textFill>
            <w14:solidFill>
              <w14:schemeClr w14:val="tx1"/>
            </w14:solidFill>
          </w14:textFill>
        </w:rPr>
        <w:t>。推进“走出去”和“引进来”相结合，构建抚顺县全面开放新格局。</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——坚持创新驱动和融合共享为抓手。</w:t>
      </w:r>
      <w:r>
        <w:rPr>
          <w:rFonts w:ascii="仿宋" w:hAnsi="仿宋" w:eastAsia="仿宋"/>
          <w:color w:val="000000" w:themeColor="text1"/>
          <w:sz w:val="28"/>
          <w:szCs w:val="28"/>
          <w14:textFill>
            <w14:solidFill>
              <w14:schemeClr w14:val="tx1"/>
            </w14:solidFill>
          </w14:textFill>
        </w:rPr>
        <w:t>落实企业创新主体地位</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提升企业创新能力和核心竞争力</w:t>
      </w:r>
      <w:r>
        <w:rPr>
          <w:rFonts w:hint="eastAsia" w:ascii="仿宋" w:hAnsi="仿宋" w:eastAsia="仿宋"/>
          <w:color w:val="000000" w:themeColor="text1"/>
          <w:sz w:val="28"/>
          <w:szCs w:val="28"/>
          <w14:textFill>
            <w14:solidFill>
              <w14:schemeClr w14:val="tx1"/>
            </w14:solidFill>
          </w14:textFill>
        </w:rPr>
        <w:t>；培育发展数字经济、平台经济、共享经济、体验经济等新业态新模式；推动产业融合，以及信息化和工业化融合。</w:t>
      </w:r>
    </w:p>
    <w:p>
      <w:pPr>
        <w:pStyle w:val="4"/>
        <w:spacing w:line="360" w:lineRule="auto"/>
        <w:ind w:firstLine="0" w:firstLineChars="0"/>
        <w:jc w:val="center"/>
        <w:rPr>
          <w:color w:val="000000" w:themeColor="text1"/>
          <w14:textFill>
            <w14:solidFill>
              <w14:schemeClr w14:val="tx1"/>
            </w14:solidFill>
          </w14:textFill>
        </w:rPr>
      </w:pPr>
      <w:bookmarkStart w:id="29" w:name="_Toc53698361"/>
      <w:r>
        <w:rPr>
          <w:rFonts w:hint="eastAsia"/>
          <w:color w:val="000000" w:themeColor="text1"/>
          <w14:textFill>
            <w14:solidFill>
              <w14:schemeClr w14:val="tx1"/>
            </w14:solidFill>
          </w14:textFill>
        </w:rPr>
        <w:t>第三节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“十四五”规划总体思路</w:t>
      </w:r>
      <w:bookmarkEnd w:id="29"/>
    </w:p>
    <w:p>
      <w:pPr>
        <w:ind w:firstLine="560" w:firstLineChars="200"/>
        <w:rPr>
          <w:rFonts w:ascii="仿宋" w:hAnsi="仿宋" w:eastAsia="仿宋"/>
          <w:color w:val="000000" w:themeColor="text1"/>
          <w:sz w:val="28"/>
          <w:szCs w:val="28"/>
          <w14:textFill>
            <w14:solidFill>
              <w14:schemeClr w14:val="tx1"/>
            </w14:solidFill>
          </w14:textFill>
        </w:rPr>
      </w:pPr>
      <w:bookmarkStart w:id="30" w:name="_Hlk53693107"/>
      <w:r>
        <w:rPr>
          <w:rFonts w:hint="eastAsia" w:ascii="仿宋" w:hAnsi="仿宋" w:eastAsia="仿宋"/>
          <w:color w:val="000000" w:themeColor="text1"/>
          <w:sz w:val="28"/>
          <w:szCs w:val="28"/>
          <w14:textFill>
            <w14:solidFill>
              <w14:schemeClr w14:val="tx1"/>
            </w14:solidFill>
          </w14:textFill>
        </w:rPr>
        <w:t>“十四五”时期，针对我县产业结构单一、资源要素瓶颈制约等发展“短板”，提出有针对性地发展理念和任务举措，不断提高谋全局、出思路、抓落实、解难题的本领。坚持问题导向和效果导向，抓住区域开放合作契机，以优化营商环境为重点，促进市场在资源配置中的决定性作用。强化责任担当，积极转变政府职能，创新工作举措，扎实推进重点领域和关键环节改革。聚焦转型发展，围绕“做精一产、做强二产、做大三产”的目标，着力促进产业融合，优化三次产业结构。实施乡村振兴战略，大力发展精品特色农产品，推动生态观光、健康养生等特色乡村旅游；巩固工业主导地位，推动创新驱动，培育发展新兴产业，加速传统产业转型升级，提质增效；促进服务业快速发展，培育发展生产性服务业。在总结“十三五”发展情况，以及研判未来发展趋势的基础上，结合我县实际，提出“十四五”时期经济社会发展总体思路为形成“</w:t>
      </w:r>
      <w:r>
        <w:rPr>
          <w:rFonts w:hint="eastAsia" w:ascii="仿宋" w:hAnsi="仿宋" w:eastAsia="仿宋" w:cs="仿宋"/>
          <w:color w:val="000000" w:themeColor="text1"/>
          <w:sz w:val="28"/>
          <w:szCs w:val="28"/>
          <w14:textFill>
            <w14:solidFill>
              <w14:schemeClr w14:val="tx1"/>
            </w14:solidFill>
          </w14:textFill>
        </w:rPr>
        <w:t>生态立县、农业富县、工业强县、旅游兴县、开放活县”的“五维驱动”发展框架。</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——生态立县。</w:t>
      </w:r>
      <w:r>
        <w:rPr>
          <w:rFonts w:hint="eastAsia" w:ascii="仿宋" w:hAnsi="仿宋" w:eastAsia="仿宋"/>
          <w:color w:val="000000" w:themeColor="text1"/>
          <w:sz w:val="28"/>
          <w:szCs w:val="28"/>
          <w14:textFill>
            <w14:solidFill>
              <w14:schemeClr w14:val="tx1"/>
            </w14:solidFill>
          </w14:textFill>
        </w:rPr>
        <w:t>践行“绿水青山就是金山银山、冰天雪地也是金山银山”的发展理念，坚持绿色发展导向，充分发挥我县生态资源优势，大力发展循环经济，提高资源利用率，实现资源集约型、环境友好型发展，构建绿色经济发展体系，促进经济效益、社会效益和生态效益相统一，打造特色鲜明的生态文明建设示范县。</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——农业富县。</w:t>
      </w:r>
      <w:r>
        <w:rPr>
          <w:rFonts w:hint="eastAsia" w:ascii="仿宋" w:hAnsi="仿宋" w:eastAsia="仿宋"/>
          <w:bCs/>
          <w:color w:val="000000" w:themeColor="text1"/>
          <w:sz w:val="28"/>
          <w:szCs w:val="28"/>
          <w14:textFill>
            <w14:solidFill>
              <w14:schemeClr w14:val="tx1"/>
            </w14:solidFill>
          </w14:textFill>
        </w:rPr>
        <w:t>以构建现代农业产业体系为重点，</w:t>
      </w:r>
      <w:r>
        <w:rPr>
          <w:rFonts w:hint="eastAsia" w:ascii="仿宋" w:hAnsi="仿宋" w:eastAsia="仿宋"/>
          <w:color w:val="000000" w:themeColor="text1"/>
          <w:sz w:val="28"/>
          <w:szCs w:val="28"/>
          <w14:textFill>
            <w14:solidFill>
              <w14:schemeClr w14:val="tx1"/>
            </w14:solidFill>
          </w14:textFill>
        </w:rPr>
        <w:t>突出质量兴农，构建食用菌、设施果蔬、特色林果业、生态畜禽、优质粮油五大具有较强竞争优势的主导产业发展格局。积极实施乡村振兴战略，带动培育一批规模化、集约化、品牌化优势特色产业基地，推动全县农业产业区域协同发展，提升农民收入，使农业切实成为富民富县的压舱石。</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——工业强县。</w:t>
      </w:r>
      <w:r>
        <w:rPr>
          <w:rFonts w:hint="eastAsia" w:ascii="仿宋" w:hAnsi="仿宋" w:eastAsia="仿宋"/>
          <w:color w:val="000000" w:themeColor="text1"/>
          <w:sz w:val="28"/>
          <w:szCs w:val="28"/>
          <w14:textFill>
            <w14:solidFill>
              <w14:schemeClr w14:val="tx1"/>
            </w14:solidFill>
          </w14:textFill>
        </w:rPr>
        <w:t>以改革创新为动力，以开发区（园区）建设为重要载体，明确产业方向、统筹产业布局，提高产业竞争力，确保传统产业和新兴产业齐头并进。突出项目带动、强化投资支撑，拉伸产业链条，加快企业转型升级，推动全县工业发展质量变革、效率变革、动力变革，做大做强我县工业经济。</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——旅游兴县。</w:t>
      </w:r>
      <w:r>
        <w:rPr>
          <w:rFonts w:hint="eastAsia" w:ascii="仿宋" w:hAnsi="仿宋" w:eastAsia="仿宋"/>
          <w:color w:val="000000" w:themeColor="text1"/>
          <w:sz w:val="28"/>
          <w:szCs w:val="28"/>
          <w14:textFill>
            <w14:solidFill>
              <w14:schemeClr w14:val="tx1"/>
            </w14:solidFill>
          </w14:textFill>
        </w:rPr>
        <w:t>以国家全域旅游示范区建设为统领，以“全景、全业、全时、全民”模式和“大产业、大旅游”的视野观，打造我县东部旅游产业集聚区和西部旅游产业集聚区两大格局，推动文旅融合、美丽乡村建设、大力发展特色民宿和乡村旅游经济。以旅游的发展带动全域发展、带动产业兴旺、带动我县实力和竞争力全面提升。</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——开放活县。</w:t>
      </w:r>
      <w:r>
        <w:rPr>
          <w:rFonts w:hint="eastAsia" w:ascii="仿宋" w:hAnsi="仿宋" w:eastAsia="仿宋"/>
          <w:bCs/>
          <w:color w:val="000000" w:themeColor="text1"/>
          <w:sz w:val="28"/>
          <w:szCs w:val="28"/>
          <w14:textFill>
            <w14:solidFill>
              <w14:schemeClr w14:val="tx1"/>
            </w14:solidFill>
          </w14:textFill>
        </w:rPr>
        <w:t>以辽宁自贸试验区建设、辽宁中南城市群建设和沈抚改革示范区建设为契机，积极承接产业、科技、人才转移，打造区域开放合作新高地。树立与开放型经济相适应的市场意识、创新意识和竞争意识，把民营经济作为最具活力的增长要素，</w:t>
      </w:r>
      <w:r>
        <w:rPr>
          <w:rFonts w:hint="eastAsia" w:ascii="仿宋" w:hAnsi="仿宋" w:eastAsia="仿宋"/>
          <w:color w:val="000000" w:themeColor="text1"/>
          <w:sz w:val="28"/>
          <w:szCs w:val="28"/>
          <w14:textFill>
            <w14:solidFill>
              <w14:schemeClr w14:val="tx1"/>
            </w14:solidFill>
          </w14:textFill>
        </w:rPr>
        <w:t>把“飞地经济”作为经济发展的新动能，打造全面开放新格局。</w:t>
      </w:r>
    </w:p>
    <w:bookmarkEnd w:id="30"/>
    <w:p>
      <w:pPr>
        <w:pStyle w:val="4"/>
        <w:spacing w:line="360" w:lineRule="auto"/>
        <w:ind w:firstLine="0" w:firstLineChars="0"/>
        <w:jc w:val="center"/>
        <w:rPr>
          <w:color w:val="000000" w:themeColor="text1"/>
          <w14:textFill>
            <w14:solidFill>
              <w14:schemeClr w14:val="tx1"/>
            </w14:solidFill>
          </w14:textFill>
        </w:rPr>
      </w:pPr>
      <w:bookmarkStart w:id="31" w:name="_Toc53698362"/>
      <w:r>
        <w:rPr>
          <w:rFonts w:hint="eastAsia"/>
          <w:color w:val="000000" w:themeColor="text1"/>
          <w14:textFill>
            <w14:solidFill>
              <w14:schemeClr w14:val="tx1"/>
            </w14:solidFill>
          </w14:textFill>
        </w:rPr>
        <w:t>第四节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“十四五”规划</w:t>
      </w:r>
      <w:r>
        <w:rPr>
          <w:color w:val="000000" w:themeColor="text1"/>
          <w14:textFill>
            <w14:solidFill>
              <w14:schemeClr w14:val="tx1"/>
            </w14:solidFill>
          </w14:textFill>
        </w:rPr>
        <w:t>主要目标</w:t>
      </w:r>
      <w:bookmarkEnd w:id="31"/>
    </w:p>
    <w:p>
      <w:pPr>
        <w:tabs>
          <w:tab w:val="left" w:pos="3240"/>
        </w:tabs>
        <w:adjustRightInd w:val="0"/>
        <w:snapToGrid w:val="0"/>
        <w:spacing w:line="360" w:lineRule="auto"/>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突出目标导向，以到</w:t>
      </w:r>
      <w:r>
        <w:rPr>
          <w:rFonts w:eastAsia="仿宋"/>
          <w:color w:val="000000" w:themeColor="text1"/>
          <w:sz w:val="28"/>
          <w:szCs w:val="28"/>
          <w14:textFill>
            <w14:solidFill>
              <w14:schemeClr w14:val="tx1"/>
            </w14:solidFill>
          </w14:textFill>
        </w:rPr>
        <w:t>2035</w:t>
      </w:r>
      <w:r>
        <w:rPr>
          <w:rFonts w:hint="eastAsia" w:ascii="仿宋" w:hAnsi="仿宋" w:eastAsia="仿宋"/>
          <w:color w:val="000000" w:themeColor="text1"/>
          <w:sz w:val="28"/>
          <w:szCs w:val="28"/>
          <w14:textFill>
            <w14:solidFill>
              <w14:schemeClr w14:val="tx1"/>
            </w14:solidFill>
          </w14:textFill>
        </w:rPr>
        <w:t>年基本实现社会主义现代化战略目标为导向，结合全面振兴、全方位振兴目标，细化实化量化第一个五年主要目标；突出问题导向，</w:t>
      </w:r>
      <w:r>
        <w:rPr>
          <w:rFonts w:hint="eastAsia" w:ascii="仿宋" w:hAnsi="仿宋" w:eastAsia="仿宋"/>
          <w:color w:val="000000" w:themeColor="text1"/>
          <w:sz w:val="28"/>
          <w:szCs w:val="36"/>
          <w14:textFill>
            <w14:solidFill>
              <w14:schemeClr w14:val="tx1"/>
            </w14:solidFill>
          </w14:textFill>
        </w:rPr>
        <w:t>努力建成更加完善、更加先进的市场体系、产业体系、区域城乡发展体系、绿色发展体系、全面开放体系、民生保障体系，形成营商环境好、创新能力强、生态环境优、发展活力足、特色优势突出的抚顺县振兴发展新局面。</w:t>
      </w:r>
    </w:p>
    <w:p>
      <w:pPr>
        <w:tabs>
          <w:tab w:val="left" w:pos="3240"/>
        </w:tabs>
        <w:adjustRightInd w:val="0"/>
        <w:snapToGrid w:val="0"/>
        <w:spacing w:line="360" w:lineRule="auto"/>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总体目标为：</w:t>
      </w:r>
    </w:p>
    <w:p>
      <w:pPr>
        <w:tabs>
          <w:tab w:val="left" w:pos="3240"/>
        </w:tabs>
        <w:adjustRightInd w:val="0"/>
        <w:snapToGrid w:val="0"/>
        <w:spacing w:line="360" w:lineRule="auto"/>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贯彻新发展理念，落实高质量发展要求，围绕县委、县政府提出的“两谷一带”发展战略，突出十二个发力点，实现全县一二三产业的融合发展，进一步做大做强县域经济；培育壮大特色农业，补齐工业、服务业发展短板，大力发展新兴产业，破解产业结构单一难题；加快新型城镇化建设，加强区域融合联动，优化空间布局；持续深入推进生态环境保护，实现绿色循环低碳发展；推进民生保障、科教文卫、社会治理等民生领域明显改善，使人民群众的获得感、幸福感、安全感更加充实、更有保障、更可持续。通过“十四五”时期的充分发展，为我县努力实现第二个一百年奋斗目标夯实基础。</w:t>
      </w:r>
    </w:p>
    <w:p>
      <w:pPr>
        <w:pStyle w:val="2"/>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具体目标为：</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——经济实现高质量发展。</w:t>
      </w:r>
      <w:r>
        <w:rPr>
          <w:rFonts w:hint="eastAsia" w:ascii="仿宋" w:hAnsi="仿宋" w:eastAsia="仿宋"/>
          <w:bCs/>
          <w:color w:val="000000" w:themeColor="text1"/>
          <w:sz w:val="28"/>
          <w:szCs w:val="28"/>
          <w14:textFill>
            <w14:solidFill>
              <w14:schemeClr w14:val="tx1"/>
            </w14:solidFill>
          </w14:textFill>
        </w:rPr>
        <w:t>全面贯彻中央关于经济发展的基本要求，保持全县经济中高速增长，持续优化经济结构，实现发展质量与效益持续提升。</w:t>
      </w:r>
      <w:r>
        <w:rPr>
          <w:rFonts w:hint="eastAsia" w:ascii="仿宋" w:hAnsi="仿宋" w:eastAsia="仿宋"/>
          <w:color w:val="000000" w:themeColor="text1"/>
          <w:sz w:val="28"/>
          <w:szCs w:val="28"/>
          <w14:textFill>
            <w14:solidFill>
              <w14:schemeClr w14:val="tx1"/>
            </w14:solidFill>
          </w14:textFill>
        </w:rPr>
        <w:t>“十四五”时期，</w:t>
      </w:r>
      <w:r>
        <w:rPr>
          <w:rFonts w:hint="eastAsia" w:ascii="仿宋" w:hAnsi="仿宋" w:eastAsia="仿宋"/>
          <w:color w:val="000000" w:themeColor="text1"/>
          <w:sz w:val="28"/>
          <w:szCs w:val="28"/>
          <w:highlight w:val="yellow"/>
          <w14:textFill>
            <w14:solidFill>
              <w14:schemeClr w14:val="tx1"/>
            </w14:solidFill>
          </w14:textFill>
        </w:rPr>
        <w:t>全县地区生产总值年均增长（ ），一般公共预算收入保持年均增长（ ），到</w:t>
      </w:r>
      <w:r>
        <w:rPr>
          <w:rFonts w:eastAsia="仿宋"/>
          <w:color w:val="000000" w:themeColor="text1"/>
          <w:sz w:val="28"/>
          <w:szCs w:val="28"/>
          <w:highlight w:val="yellow"/>
          <w14:textFill>
            <w14:solidFill>
              <w14:schemeClr w14:val="tx1"/>
            </w14:solidFill>
          </w14:textFill>
        </w:rPr>
        <w:t>2025</w:t>
      </w:r>
      <w:r>
        <w:rPr>
          <w:rFonts w:hint="eastAsia" w:ascii="仿宋" w:hAnsi="仿宋" w:eastAsia="仿宋"/>
          <w:color w:val="000000" w:themeColor="text1"/>
          <w:sz w:val="28"/>
          <w:szCs w:val="28"/>
          <w:highlight w:val="yellow"/>
          <w14:textFill>
            <w14:solidFill>
              <w14:schemeClr w14:val="tx1"/>
            </w14:solidFill>
          </w14:textFill>
        </w:rPr>
        <w:t xml:space="preserve">年，全县地区生产总值达到（ </w:t>
      </w:r>
      <w:r>
        <w:rPr>
          <w:rFonts w:ascii="仿宋" w:hAnsi="仿宋" w:eastAsia="仿宋"/>
          <w:color w:val="000000" w:themeColor="text1"/>
          <w:sz w:val="28"/>
          <w:szCs w:val="28"/>
          <w:highlight w:val="yellow"/>
          <w14:textFill>
            <w14:solidFill>
              <w14:schemeClr w14:val="tx1"/>
            </w14:solidFill>
          </w14:textFill>
        </w:rPr>
        <w:t xml:space="preserve"> </w:t>
      </w:r>
      <w:r>
        <w:rPr>
          <w:rFonts w:hint="eastAsia" w:ascii="仿宋" w:hAnsi="仿宋" w:eastAsia="仿宋"/>
          <w:color w:val="000000" w:themeColor="text1"/>
          <w:sz w:val="28"/>
          <w:szCs w:val="28"/>
          <w:highlight w:val="yellow"/>
          <w14:textFill>
            <w14:solidFill>
              <w14:schemeClr w14:val="tx1"/>
            </w14:solidFill>
          </w14:textFill>
        </w:rPr>
        <w:t xml:space="preserve">）万元，一般公共预算收入达到（ </w:t>
      </w:r>
      <w:r>
        <w:rPr>
          <w:rFonts w:ascii="仿宋" w:hAnsi="仿宋" w:eastAsia="仿宋"/>
          <w:color w:val="000000" w:themeColor="text1"/>
          <w:sz w:val="28"/>
          <w:szCs w:val="28"/>
          <w:highlight w:val="yellow"/>
          <w14:textFill>
            <w14:solidFill>
              <w14:schemeClr w14:val="tx1"/>
            </w14:solidFill>
          </w14:textFill>
        </w:rPr>
        <w:t xml:space="preserve"> </w:t>
      </w:r>
      <w:r>
        <w:rPr>
          <w:rFonts w:hint="eastAsia" w:ascii="仿宋" w:hAnsi="仿宋" w:eastAsia="仿宋"/>
          <w:color w:val="000000" w:themeColor="text1"/>
          <w:sz w:val="28"/>
          <w:szCs w:val="28"/>
          <w:highlight w:val="yellow"/>
          <w14:textFill>
            <w14:solidFill>
              <w14:schemeClr w14:val="tx1"/>
            </w14:solidFill>
          </w14:textFill>
        </w:rPr>
        <w:t xml:space="preserve">）万元；一般公共预算支出年均增长（ </w:t>
      </w:r>
      <w:r>
        <w:rPr>
          <w:rFonts w:ascii="仿宋" w:hAnsi="仿宋" w:eastAsia="仿宋"/>
          <w:color w:val="000000" w:themeColor="text1"/>
          <w:sz w:val="28"/>
          <w:szCs w:val="28"/>
          <w:highlight w:val="yellow"/>
          <w14:textFill>
            <w14:solidFill>
              <w14:schemeClr w14:val="tx1"/>
            </w14:solidFill>
          </w14:textFill>
        </w:rPr>
        <w:t xml:space="preserve"> </w:t>
      </w:r>
      <w:r>
        <w:rPr>
          <w:rFonts w:hint="eastAsia" w:ascii="仿宋" w:hAnsi="仿宋" w:eastAsia="仿宋"/>
          <w:color w:val="000000" w:themeColor="text1"/>
          <w:sz w:val="28"/>
          <w:szCs w:val="28"/>
          <w:highlight w:val="yellow"/>
          <w14:textFill>
            <w14:solidFill>
              <w14:schemeClr w14:val="tx1"/>
            </w14:solidFill>
          </w14:textFill>
        </w:rPr>
        <w:t xml:space="preserve">），一般公共预算支出达到（ </w:t>
      </w:r>
      <w:r>
        <w:rPr>
          <w:rFonts w:ascii="仿宋" w:hAnsi="仿宋" w:eastAsia="仿宋"/>
          <w:color w:val="000000" w:themeColor="text1"/>
          <w:sz w:val="28"/>
          <w:szCs w:val="28"/>
          <w:highlight w:val="yellow"/>
          <w14:textFill>
            <w14:solidFill>
              <w14:schemeClr w14:val="tx1"/>
            </w14:solidFill>
          </w14:textFill>
        </w:rPr>
        <w:t xml:space="preserve"> </w:t>
      </w:r>
      <w:r>
        <w:rPr>
          <w:rFonts w:hint="eastAsia" w:ascii="仿宋" w:hAnsi="仿宋" w:eastAsia="仿宋"/>
          <w:color w:val="000000" w:themeColor="text1"/>
          <w:sz w:val="28"/>
          <w:szCs w:val="28"/>
          <w:highlight w:val="yellow"/>
          <w14:textFill>
            <w14:solidFill>
              <w14:schemeClr w14:val="tx1"/>
            </w14:solidFill>
          </w14:textFill>
        </w:rPr>
        <w:t>）亿元，社会消费品零售总额达到（ ），</w:t>
      </w:r>
      <w:r>
        <w:rPr>
          <w:rFonts w:hint="eastAsia" w:ascii="仿宋" w:hAnsi="仿宋" w:eastAsia="仿宋"/>
          <w:color w:val="000000" w:themeColor="text1"/>
          <w:sz w:val="28"/>
          <w:szCs w:val="28"/>
          <w14:textFill>
            <w14:solidFill>
              <w14:schemeClr w14:val="tx1"/>
            </w14:solidFill>
          </w14:textFill>
        </w:rPr>
        <w:t>规模以上工业企业总</w:t>
      </w:r>
      <w:r>
        <w:rPr>
          <w:rFonts w:eastAsia="仿宋"/>
          <w:color w:val="000000" w:themeColor="text1"/>
          <w:sz w:val="28"/>
          <w:szCs w:val="28"/>
          <w14:textFill>
            <w14:solidFill>
              <w14:schemeClr w14:val="tx1"/>
            </w14:solidFill>
          </w14:textFill>
        </w:rPr>
        <w:t>产值达到50亿元以上，规模以上工业企业增加值达到30亿元以上</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highlight w:val="yellow"/>
          <w14:textFill>
            <w14:solidFill>
              <w14:schemeClr w14:val="tx1"/>
            </w14:solidFill>
          </w14:textFill>
        </w:rPr>
        <w:t>累计完成固定资产投资额达到（ ），</w:t>
      </w:r>
      <w:r>
        <w:rPr>
          <w:rFonts w:hint="eastAsia" w:ascii="仿宋" w:hAnsi="仿宋" w:eastAsia="仿宋"/>
          <w:bCs/>
          <w:color w:val="000000" w:themeColor="text1"/>
          <w:sz w:val="28"/>
          <w:szCs w:val="28"/>
          <w14:textFill>
            <w14:solidFill>
              <w14:schemeClr w14:val="tx1"/>
            </w14:solidFill>
          </w14:textFill>
        </w:rPr>
        <w:t>城镇化率</w:t>
      </w:r>
      <w:r>
        <w:rPr>
          <w:rFonts w:eastAsia="仿宋"/>
          <w:bCs/>
          <w:color w:val="000000" w:themeColor="text1"/>
          <w:sz w:val="28"/>
          <w:szCs w:val="28"/>
          <w14:textFill>
            <w14:solidFill>
              <w14:schemeClr w14:val="tx1"/>
            </w14:solidFill>
          </w14:textFill>
        </w:rPr>
        <w:t>达到</w:t>
      </w:r>
      <w:r>
        <w:rPr>
          <w:rFonts w:hint="eastAsia" w:eastAsia="仿宋"/>
          <w:bCs/>
          <w:color w:val="000000" w:themeColor="text1"/>
          <w:sz w:val="28"/>
          <w:szCs w:val="28"/>
          <w:highlight w:val="yellow"/>
          <w14:textFill>
            <w14:solidFill>
              <w14:schemeClr w14:val="tx1"/>
            </w14:solidFill>
          </w14:textFill>
        </w:rPr>
        <w:t>（ ）</w:t>
      </w:r>
      <w:r>
        <w:rPr>
          <w:rFonts w:hint="eastAsia" w:eastAsia="仿宋"/>
          <w:bCs/>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 </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——进一步优化产业结构。</w:t>
      </w:r>
      <w:r>
        <w:rPr>
          <w:rFonts w:hint="eastAsia" w:ascii="仿宋" w:hAnsi="仿宋" w:eastAsia="仿宋"/>
          <w:color w:val="000000" w:themeColor="text1"/>
          <w:sz w:val="28"/>
          <w:szCs w:val="28"/>
          <w14:textFill>
            <w14:solidFill>
              <w14:schemeClr w14:val="tx1"/>
            </w14:solidFill>
          </w14:textFill>
        </w:rPr>
        <w:t>结合抚顺县各乡镇资源禀赋、产业基础和生态环保要求，充分发挥工业园区体制创新、科技引领、产业集聚、土地集约的作用，推进经济结构转型升级。“十四五”时期，进一步优化产业结构，到</w:t>
      </w:r>
      <w:r>
        <w:rPr>
          <w:rFonts w:eastAsia="仿宋"/>
          <w:color w:val="000000" w:themeColor="text1"/>
          <w:sz w:val="28"/>
          <w:szCs w:val="28"/>
          <w14:textFill>
            <w14:solidFill>
              <w14:schemeClr w14:val="tx1"/>
            </w14:solidFill>
          </w14:textFill>
        </w:rPr>
        <w:t>2025年，</w:t>
      </w:r>
      <w:r>
        <w:rPr>
          <w:rFonts w:eastAsia="仿宋"/>
          <w:color w:val="000000" w:themeColor="text1"/>
          <w:sz w:val="28"/>
          <w:szCs w:val="28"/>
          <w:highlight w:val="yellow"/>
          <w14:textFill>
            <w14:solidFill>
              <w14:schemeClr w14:val="tx1"/>
            </w14:solidFill>
          </w14:textFill>
        </w:rPr>
        <w:t>三次产业比重达到（  ）</w:t>
      </w:r>
      <w:r>
        <w:rPr>
          <w:rFonts w:eastAsia="仿宋"/>
          <w:color w:val="000000" w:themeColor="text1"/>
          <w:sz w:val="28"/>
          <w:szCs w:val="28"/>
          <w14:textFill>
            <w14:solidFill>
              <w14:schemeClr w14:val="tx1"/>
            </w14:solidFill>
          </w14:textFill>
        </w:rPr>
        <w:t>。</w:t>
      </w:r>
      <w:bookmarkStart w:id="32" w:name="_Hlk52886905"/>
      <w:r>
        <w:rPr>
          <w:rFonts w:eastAsia="仿宋"/>
          <w:color w:val="000000" w:themeColor="text1"/>
          <w:sz w:val="28"/>
          <w:szCs w:val="28"/>
          <w14:textFill>
            <w14:solidFill>
              <w14:schemeClr w14:val="tx1"/>
            </w14:solidFill>
          </w14:textFill>
        </w:rPr>
        <w:t>继续推进非矿产业发展，到2025</w:t>
      </w:r>
      <w:r>
        <w:rPr>
          <w:rFonts w:hint="eastAsia" w:ascii="仿宋" w:hAnsi="仿宋" w:eastAsia="仿宋"/>
          <w:color w:val="000000" w:themeColor="text1"/>
          <w:sz w:val="28"/>
          <w:szCs w:val="28"/>
          <w14:textFill>
            <w14:solidFill>
              <w14:schemeClr w14:val="tx1"/>
            </w14:solidFill>
          </w14:textFill>
        </w:rPr>
        <w:t>年，非矿产业在税收和财政收入中的比重达到</w:t>
      </w:r>
      <w:r>
        <w:rPr>
          <w:rFonts w:eastAsia="仿宋"/>
          <w:color w:val="000000" w:themeColor="text1"/>
          <w:sz w:val="28"/>
          <w:szCs w:val="28"/>
          <w14:textFill>
            <w14:solidFill>
              <w14:schemeClr w14:val="tx1"/>
            </w14:solidFill>
          </w14:textFill>
        </w:rPr>
        <w:t>50%</w:t>
      </w:r>
      <w:r>
        <w:rPr>
          <w:rFonts w:hint="eastAsia" w:ascii="仿宋" w:hAnsi="仿宋" w:eastAsia="仿宋"/>
          <w:color w:val="000000" w:themeColor="text1"/>
          <w:sz w:val="28"/>
          <w:szCs w:val="28"/>
          <w14:textFill>
            <w14:solidFill>
              <w14:schemeClr w14:val="tx1"/>
            </w14:solidFill>
          </w14:textFill>
        </w:rPr>
        <w:t>以上，资源加工产业在工业中的比重达到</w:t>
      </w:r>
      <w:r>
        <w:rPr>
          <w:rFonts w:hint="eastAsia" w:eastAsia="仿宋"/>
          <w:color w:val="000000" w:themeColor="text1"/>
          <w:sz w:val="28"/>
          <w:szCs w:val="28"/>
          <w:highlight w:val="yellow"/>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以上。</w:t>
      </w:r>
      <w:bookmarkEnd w:id="32"/>
      <w:r>
        <w:rPr>
          <w:rFonts w:hint="eastAsia" w:ascii="仿宋" w:hAnsi="仿宋" w:eastAsia="仿宋"/>
          <w:color w:val="000000" w:themeColor="text1"/>
          <w:sz w:val="28"/>
          <w:szCs w:val="28"/>
          <w14:textFill>
            <w14:solidFill>
              <w14:schemeClr w14:val="tx1"/>
            </w14:solidFill>
          </w14:textFill>
        </w:rPr>
        <w:t>大力发展工业园区，力争建成一个省级工业园区；大力发展以旅游业为重点的现代服务业，进一步推进全域旅游发展，塑造红色旅游文化，促进第三产业在</w:t>
      </w:r>
      <w:r>
        <w:rPr>
          <w:rFonts w:eastAsia="仿宋"/>
          <w:color w:val="000000" w:themeColor="text1"/>
          <w:sz w:val="28"/>
          <w:szCs w:val="28"/>
          <w14:textFill>
            <w14:solidFill>
              <w14:schemeClr w14:val="tx1"/>
            </w14:solidFill>
          </w14:textFill>
        </w:rPr>
        <w:t>GDP</w:t>
      </w:r>
      <w:r>
        <w:rPr>
          <w:rFonts w:hint="eastAsia" w:ascii="仿宋" w:hAnsi="仿宋" w:eastAsia="仿宋"/>
          <w:color w:val="000000" w:themeColor="text1"/>
          <w:sz w:val="28"/>
          <w:szCs w:val="28"/>
          <w14:textFill>
            <w14:solidFill>
              <w14:schemeClr w14:val="tx1"/>
            </w14:solidFill>
          </w14:textFill>
        </w:rPr>
        <w:t>比重大幅度提高，到</w:t>
      </w:r>
      <w:r>
        <w:rPr>
          <w:rFonts w:eastAsia="仿宋"/>
          <w:color w:val="000000" w:themeColor="text1"/>
          <w:sz w:val="28"/>
          <w:szCs w:val="28"/>
          <w14:textFill>
            <w14:solidFill>
              <w14:schemeClr w14:val="tx1"/>
            </w14:solidFill>
          </w14:textFill>
        </w:rPr>
        <w:t>2025</w:t>
      </w:r>
      <w:r>
        <w:rPr>
          <w:rFonts w:hint="eastAsia" w:ascii="仿宋" w:hAnsi="仿宋" w:eastAsia="仿宋"/>
          <w:color w:val="000000" w:themeColor="text1"/>
          <w:sz w:val="28"/>
          <w:szCs w:val="28"/>
          <w14:textFill>
            <w14:solidFill>
              <w14:schemeClr w14:val="tx1"/>
            </w14:solidFill>
          </w14:textFill>
        </w:rPr>
        <w:t>年，实现全县服务业增加值占</w:t>
      </w:r>
      <w:r>
        <w:rPr>
          <w:rFonts w:eastAsia="仿宋"/>
          <w:color w:val="000000" w:themeColor="text1"/>
          <w:sz w:val="28"/>
          <w:szCs w:val="28"/>
          <w14:textFill>
            <w14:solidFill>
              <w14:schemeClr w14:val="tx1"/>
            </w14:solidFill>
          </w14:textFill>
        </w:rPr>
        <w:t>GDP</w:t>
      </w:r>
      <w:r>
        <w:rPr>
          <w:rFonts w:hint="eastAsia" w:ascii="仿宋" w:hAnsi="仿宋" w:eastAsia="仿宋"/>
          <w:color w:val="000000" w:themeColor="text1"/>
          <w:sz w:val="28"/>
          <w:szCs w:val="28"/>
          <w14:textFill>
            <w14:solidFill>
              <w14:schemeClr w14:val="tx1"/>
            </w14:solidFill>
          </w14:textFill>
        </w:rPr>
        <w:t>比重达到</w:t>
      </w:r>
      <w:r>
        <w:rPr>
          <w:rFonts w:eastAsia="仿宋"/>
          <w:color w:val="000000" w:themeColor="text1"/>
          <w:sz w:val="28"/>
          <w:szCs w:val="28"/>
          <w14:textFill>
            <w14:solidFill>
              <w14:schemeClr w14:val="tx1"/>
            </w14:solidFill>
          </w14:textFill>
        </w:rPr>
        <w:t>23.7%</w:t>
      </w:r>
      <w:r>
        <w:rPr>
          <w:rFonts w:hint="eastAsia" w:ascii="仿宋" w:hAnsi="仿宋" w:eastAsia="仿宋"/>
          <w:color w:val="000000" w:themeColor="text1"/>
          <w:sz w:val="28"/>
          <w:szCs w:val="28"/>
          <w14:textFill>
            <w14:solidFill>
              <w14:schemeClr w14:val="tx1"/>
            </w14:solidFill>
          </w14:textFill>
        </w:rPr>
        <w:t>；农业产业化和现代化取得明显进展。</w:t>
      </w:r>
    </w:p>
    <w:p>
      <w:pPr>
        <w:spacing w:line="360" w:lineRule="auto"/>
        <w:ind w:firstLine="562" w:firstLineChars="200"/>
        <w:rPr>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——重点领域和关键环节改革成效显著。</w:t>
      </w:r>
      <w:r>
        <w:rPr>
          <w:rFonts w:hint="eastAsia" w:ascii="仿宋" w:hAnsi="仿宋" w:eastAsia="仿宋"/>
          <w:color w:val="000000" w:themeColor="text1"/>
          <w:sz w:val="28"/>
          <w:szCs w:val="28"/>
          <w14:textFill>
            <w14:solidFill>
              <w14:schemeClr w14:val="tx1"/>
            </w14:solidFill>
          </w14:textFill>
        </w:rPr>
        <w:t>以供给侧改革为主线，以高质量发展为核心目标，以机制体制改革创新为突破口，结合抚顺县资源和区位优势，加快省级经济开发区建设步伐。继续推进全面深化改革，着力建设现代化产业体系、提升市场化水平、优化营商环境、强化项目建设、提升企业创新活力、补齐民生短板等。</w:t>
      </w:r>
    </w:p>
    <w:p>
      <w:pPr>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——创新驱动发展成果丰厚。</w:t>
      </w:r>
      <w:r>
        <w:rPr>
          <w:rFonts w:hint="eastAsia" w:ascii="仿宋" w:hAnsi="仿宋" w:eastAsia="仿宋"/>
          <w:bCs/>
          <w:color w:val="000000" w:themeColor="text1"/>
          <w:sz w:val="28"/>
          <w:szCs w:val="28"/>
          <w14:textFill>
            <w14:solidFill>
              <w14:schemeClr w14:val="tx1"/>
            </w14:solidFill>
          </w14:textFill>
        </w:rPr>
        <w:t>以打造特色产业为突破，加快我县产业科技创新步伐；以完善创新体系为目标，加大产学研用平台建设；以增强创新主体为导向，提升企业创新发展能力；以引进科技人才为保障，强化科技创新支撑力量。大力推动新技术、新产业、新业态、新模式的“四新经济”成为抚顺县经济增长的重要支撑，努力实现增长动力转换。</w:t>
      </w:r>
    </w:p>
    <w:p>
      <w:pPr>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——绿色发展取得突出成效。</w:t>
      </w:r>
      <w:r>
        <w:rPr>
          <w:rFonts w:hint="eastAsia" w:ascii="仿宋" w:hAnsi="仿宋" w:eastAsia="仿宋"/>
          <w:bCs/>
          <w:color w:val="000000" w:themeColor="text1"/>
          <w:sz w:val="28"/>
          <w:szCs w:val="28"/>
          <w14:textFill>
            <w14:solidFill>
              <w14:schemeClr w14:val="tx1"/>
            </w14:solidFill>
          </w14:textFill>
        </w:rPr>
        <w:t>进一步改善生态环境，到</w:t>
      </w:r>
      <w:r>
        <w:rPr>
          <w:rFonts w:eastAsia="仿宋"/>
          <w:bCs/>
          <w:color w:val="000000" w:themeColor="text1"/>
          <w:sz w:val="28"/>
          <w:szCs w:val="28"/>
          <w14:textFill>
            <w14:solidFill>
              <w14:schemeClr w14:val="tx1"/>
            </w14:solidFill>
          </w14:textFill>
        </w:rPr>
        <w:t>2025年，森林覆盖率达到</w:t>
      </w:r>
      <w:r>
        <w:rPr>
          <w:rFonts w:hint="eastAsia" w:eastAsia="仿宋"/>
          <w:bCs/>
          <w:color w:val="000000" w:themeColor="text1"/>
          <w:sz w:val="28"/>
          <w:szCs w:val="28"/>
          <w14:textFill>
            <w14:solidFill>
              <w14:schemeClr w14:val="tx1"/>
            </w14:solidFill>
          </w14:textFill>
        </w:rPr>
        <w:t>70.35%。</w:t>
      </w:r>
      <w:r>
        <w:rPr>
          <w:rFonts w:eastAsia="仿宋"/>
          <w:bCs/>
          <w:color w:val="000000" w:themeColor="text1"/>
          <w:sz w:val="28"/>
          <w:szCs w:val="28"/>
          <w14:textFill>
            <w14:solidFill>
              <w14:schemeClr w14:val="tx1"/>
            </w14:solidFill>
          </w14:textFill>
        </w:rPr>
        <w:t>发展绿色有机农业，加快绿色循环养</w:t>
      </w:r>
      <w:r>
        <w:rPr>
          <w:rFonts w:hint="eastAsia" w:ascii="仿宋" w:hAnsi="仿宋" w:eastAsia="仿宋"/>
          <w:bCs/>
          <w:color w:val="000000" w:themeColor="text1"/>
          <w:sz w:val="28"/>
          <w:szCs w:val="28"/>
          <w14:textFill>
            <w14:solidFill>
              <w14:schemeClr w14:val="tx1"/>
            </w14:solidFill>
          </w14:textFill>
        </w:rPr>
        <w:t>殖转型升级，实现生态文明制度体系基本建成，生态环境质量持续改善，资源能源利用率大幅提高，统筹山水林田湖草一体化保护和修复机制基本形成；继续完善三块石自然保护区、社河国家湿地公园等各类自然保护地的基础设施建设；对我县重要饮用水水源地保护科学规划，提高饮用水水源地监测和应急预警能力、完善饮用水水源地保护联防联控机制；农村面源污染得到有效控制和治理，县域环境质量达到国家功能区标准，节能减排达到行业规划目标。</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——推进区域开放合作深化。</w:t>
      </w:r>
      <w:r>
        <w:rPr>
          <w:rFonts w:hint="eastAsia" w:ascii="仿宋" w:hAnsi="仿宋" w:eastAsia="仿宋"/>
          <w:bCs/>
          <w:color w:val="000000" w:themeColor="text1"/>
          <w:sz w:val="28"/>
          <w:szCs w:val="28"/>
          <w14:textFill>
            <w14:solidFill>
              <w14:schemeClr w14:val="tx1"/>
            </w14:solidFill>
          </w14:textFill>
        </w:rPr>
        <w:t>积极响应国家发展战略，对接“一带一路”新疆陆上门户；以参与京津冀、珠三角、长三角、粤港澳地区协同发展为依托，开展产业对接互补、园区共建等合作；积极参与东北亚地区经济合作；依托“东东”对口合作，继续推进与徐州丰县的对口合作；深度融入</w:t>
      </w:r>
      <w:r>
        <w:rPr>
          <w:rFonts w:hint="eastAsia" w:ascii="仿宋" w:hAnsi="仿宋" w:eastAsia="仿宋"/>
          <w:color w:val="000000" w:themeColor="text1"/>
          <w:sz w:val="28"/>
          <w:szCs w:val="28"/>
          <w14:textFill>
            <w14:solidFill>
              <w14:schemeClr w14:val="tx1"/>
            </w14:solidFill>
          </w14:textFill>
        </w:rPr>
        <w:t>辽宁中部（沈阳-鞍山-抚顺）经济区和沈抚改革创新示范新区，</w:t>
      </w:r>
      <w:r>
        <w:rPr>
          <w:rFonts w:hint="eastAsia" w:ascii="仿宋" w:hAnsi="仿宋" w:eastAsia="仿宋"/>
          <w:bCs/>
          <w:color w:val="000000" w:themeColor="text1"/>
          <w:sz w:val="28"/>
          <w:szCs w:val="28"/>
          <w14:textFill>
            <w14:solidFill>
              <w14:schemeClr w14:val="tx1"/>
            </w14:solidFill>
          </w14:textFill>
        </w:rPr>
        <w:t>承接产业外向转移，开展产业配套服务与错位发展。</w:t>
      </w:r>
    </w:p>
    <w:p>
      <w:pPr>
        <w:spacing w:line="360" w:lineRule="auto"/>
        <w:ind w:firstLine="562" w:firstLineChars="200"/>
        <w:rPr>
          <w:rFonts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——民生福祉取得重大进展。</w:t>
      </w:r>
      <w:r>
        <w:rPr>
          <w:rFonts w:hint="eastAsia" w:ascii="仿宋" w:hAnsi="仿宋" w:eastAsia="仿宋"/>
          <w:bCs/>
          <w:color w:val="000000" w:themeColor="text1"/>
          <w:sz w:val="28"/>
          <w:szCs w:val="28"/>
          <w14:textFill>
            <w14:solidFill>
              <w14:schemeClr w14:val="tx1"/>
            </w14:solidFill>
          </w14:textFill>
        </w:rPr>
        <w:t>努力满足人民对美好生活的需求，提高农民生活水平</w:t>
      </w:r>
      <w:r>
        <w:rPr>
          <w:rFonts w:hint="eastAsia" w:ascii="仿宋" w:hAnsi="仿宋" w:eastAsia="仿宋"/>
          <w:bCs/>
          <w:color w:val="000000" w:themeColor="text1"/>
          <w:sz w:val="28"/>
          <w:szCs w:val="28"/>
          <w:highlight w:val="yellow"/>
          <w14:textFill>
            <w14:solidFill>
              <w14:schemeClr w14:val="tx1"/>
            </w14:solidFill>
          </w14:textFill>
        </w:rPr>
        <w:t>，</w:t>
      </w:r>
      <w:r>
        <w:rPr>
          <w:rFonts w:eastAsia="仿宋"/>
          <w:bCs/>
          <w:color w:val="000000" w:themeColor="text1"/>
          <w:sz w:val="28"/>
          <w:szCs w:val="28"/>
          <w:highlight w:val="yellow"/>
          <w14:textFill>
            <w14:solidFill>
              <w14:schemeClr w14:val="tx1"/>
            </w14:solidFill>
          </w14:textFill>
        </w:rPr>
        <w:t>到2025年，</w:t>
      </w:r>
      <w:r>
        <w:rPr>
          <w:rFonts w:hint="eastAsia" w:eastAsia="仿宋"/>
          <w:bCs/>
          <w:color w:val="000000" w:themeColor="text1"/>
          <w:sz w:val="28"/>
          <w:szCs w:val="28"/>
          <w:highlight w:val="yellow"/>
          <w14:textFill>
            <w14:solidFill>
              <w14:schemeClr w14:val="tx1"/>
            </w14:solidFill>
          </w14:textFill>
        </w:rPr>
        <w:t xml:space="preserve">农村居民人均可支配收入达到（ </w:t>
      </w:r>
      <w:r>
        <w:rPr>
          <w:rFonts w:eastAsia="仿宋"/>
          <w:bCs/>
          <w:color w:val="000000" w:themeColor="text1"/>
          <w:sz w:val="28"/>
          <w:szCs w:val="28"/>
          <w:highlight w:val="yellow"/>
          <w14:textFill>
            <w14:solidFill>
              <w14:schemeClr w14:val="tx1"/>
            </w14:solidFill>
          </w14:textFill>
        </w:rPr>
        <w:t xml:space="preserve"> </w:t>
      </w:r>
      <w:r>
        <w:rPr>
          <w:rFonts w:hint="eastAsia" w:eastAsia="仿宋"/>
          <w:bCs/>
          <w:color w:val="000000" w:themeColor="text1"/>
          <w:sz w:val="28"/>
          <w:szCs w:val="28"/>
          <w:highlight w:val="yellow"/>
          <w14:textFill>
            <w14:solidFill>
              <w14:schemeClr w14:val="tx1"/>
            </w14:solidFill>
          </w14:textFill>
        </w:rPr>
        <w:t>），</w:t>
      </w:r>
      <w:r>
        <w:rPr>
          <w:rFonts w:hint="eastAsia" w:ascii="仿宋" w:hAnsi="仿宋" w:eastAsia="仿宋"/>
          <w:bCs/>
          <w:color w:val="000000" w:themeColor="text1"/>
          <w:sz w:val="28"/>
          <w:szCs w:val="28"/>
          <w:highlight w:val="yellow"/>
          <w14:textFill>
            <w14:solidFill>
              <w14:schemeClr w14:val="tx1"/>
            </w14:solidFill>
          </w14:textFill>
        </w:rPr>
        <w:t xml:space="preserve">农村人口平均期望寿命达到（ </w:t>
      </w:r>
      <w:r>
        <w:rPr>
          <w:rFonts w:ascii="仿宋" w:hAnsi="仿宋" w:eastAsia="仿宋"/>
          <w:bCs/>
          <w:color w:val="000000" w:themeColor="text1"/>
          <w:sz w:val="28"/>
          <w:szCs w:val="28"/>
          <w:highlight w:val="yellow"/>
          <w14:textFill>
            <w14:solidFill>
              <w14:schemeClr w14:val="tx1"/>
            </w14:solidFill>
          </w14:textFill>
        </w:rPr>
        <w:t xml:space="preserve"> </w:t>
      </w:r>
      <w:r>
        <w:rPr>
          <w:rFonts w:hint="eastAsia" w:ascii="仿宋" w:hAnsi="仿宋" w:eastAsia="仿宋"/>
          <w:bCs/>
          <w:color w:val="000000" w:themeColor="text1"/>
          <w:sz w:val="28"/>
          <w:szCs w:val="28"/>
          <w:highlight w:val="yellow"/>
          <w14:textFill>
            <w14:solidFill>
              <w14:schemeClr w14:val="tx1"/>
            </w14:solidFill>
          </w14:textFill>
        </w:rPr>
        <w:t xml:space="preserve">），农村人均标准住宅使用面积达到（ </w:t>
      </w:r>
      <w:r>
        <w:rPr>
          <w:rFonts w:ascii="仿宋" w:hAnsi="仿宋" w:eastAsia="仿宋"/>
          <w:bCs/>
          <w:color w:val="000000" w:themeColor="text1"/>
          <w:sz w:val="28"/>
          <w:szCs w:val="28"/>
          <w:highlight w:val="yellow"/>
          <w14:textFill>
            <w14:solidFill>
              <w14:schemeClr w14:val="tx1"/>
            </w14:solidFill>
          </w14:textFill>
        </w:rPr>
        <w:t xml:space="preserve"> ）</w:t>
      </w:r>
      <w:r>
        <w:rPr>
          <w:rFonts w:hint="eastAsia" w:ascii="仿宋" w:hAnsi="仿宋" w:eastAsia="仿宋"/>
          <w:bCs/>
          <w:color w:val="000000" w:themeColor="text1"/>
          <w:sz w:val="28"/>
          <w:szCs w:val="28"/>
          <w:highlight w:val="yellow"/>
          <w14:textFill>
            <w14:solidFill>
              <w14:schemeClr w14:val="tx1"/>
            </w14:solidFill>
          </w14:textFill>
        </w:rPr>
        <w:t>。</w:t>
      </w:r>
      <w:r>
        <w:rPr>
          <w:rFonts w:eastAsia="仿宋"/>
          <w:bCs/>
          <w:color w:val="000000" w:themeColor="text1"/>
          <w:sz w:val="28"/>
          <w:szCs w:val="28"/>
          <w14:textFill>
            <w14:solidFill>
              <w14:schemeClr w14:val="tx1"/>
            </w14:solidFill>
          </w14:textFill>
        </w:rPr>
        <w:t>着力提</w:t>
      </w:r>
      <w:r>
        <w:rPr>
          <w:rFonts w:hint="eastAsia" w:ascii="仿宋" w:hAnsi="仿宋" w:eastAsia="仿宋"/>
          <w:bCs/>
          <w:color w:val="000000" w:themeColor="text1"/>
          <w:sz w:val="28"/>
          <w:szCs w:val="28"/>
          <w14:textFill>
            <w14:solidFill>
              <w14:schemeClr w14:val="tx1"/>
            </w14:solidFill>
          </w14:textFill>
        </w:rPr>
        <w:t>升教育、医疗、就业、社保等公共服务水平，完善抚顺县社会治理体系，强化基本民生保障，使社会更加和谐稳定，人民群众幸福感、获得感、安全感显著增强。到</w:t>
      </w:r>
      <w:r>
        <w:rPr>
          <w:rFonts w:eastAsia="仿宋"/>
          <w:bCs/>
          <w:color w:val="000000" w:themeColor="text1"/>
          <w:sz w:val="28"/>
          <w:szCs w:val="28"/>
          <w14:textFill>
            <w14:solidFill>
              <w14:schemeClr w14:val="tx1"/>
            </w14:solidFill>
          </w14:textFill>
        </w:rPr>
        <w:t>2025</w:t>
      </w:r>
      <w:r>
        <w:rPr>
          <w:rFonts w:hint="eastAsia" w:ascii="仿宋" w:hAnsi="仿宋" w:eastAsia="仿宋"/>
          <w:bCs/>
          <w:color w:val="000000" w:themeColor="text1"/>
          <w:sz w:val="28"/>
          <w:szCs w:val="28"/>
          <w14:textFill>
            <w14:solidFill>
              <w14:schemeClr w14:val="tx1"/>
            </w14:solidFill>
          </w14:textFill>
        </w:rPr>
        <w:t>年，教育现代化取得实质性进展，全县各中小学校园环境基础设施建设全部达到省级以上标准化水平；我县医疗保障制度更加成熟定型，完善覆盖全民的基本公共卫生</w:t>
      </w:r>
      <w:r>
        <w:rPr>
          <w:rFonts w:eastAsia="仿宋"/>
          <w:bCs/>
          <w:color w:val="000000" w:themeColor="text1"/>
          <w:sz w:val="28"/>
          <w:szCs w:val="28"/>
          <w14:textFill>
            <w14:solidFill>
              <w14:schemeClr w14:val="tx1"/>
            </w14:solidFill>
          </w14:textFill>
        </w:rPr>
        <w:t>服务，提高突发事件应急能力</w:t>
      </w:r>
      <w:r>
        <w:rPr>
          <w:rFonts w:hint="eastAsia" w:eastAsia="仿宋"/>
          <w:bCs/>
          <w:color w:val="000000" w:themeColor="text1"/>
          <w:sz w:val="28"/>
          <w:szCs w:val="28"/>
          <w14:textFill>
            <w14:solidFill>
              <w14:schemeClr w14:val="tx1"/>
            </w14:solidFill>
          </w14:textFill>
        </w:rPr>
        <w:t>；</w:t>
      </w:r>
      <w:r>
        <w:rPr>
          <w:rFonts w:eastAsia="仿宋"/>
          <w:bCs/>
          <w:color w:val="000000" w:themeColor="text1"/>
          <w:sz w:val="28"/>
          <w:szCs w:val="28"/>
          <w14:textFill>
            <w14:solidFill>
              <w14:schemeClr w14:val="tx1"/>
            </w14:solidFill>
          </w14:textFill>
        </w:rPr>
        <w:t>进一步扩大就业发展，城镇登记失业率控制在</w:t>
      </w:r>
      <w:r>
        <w:rPr>
          <w:rFonts w:hint="eastAsia" w:eastAsia="仿宋"/>
          <w:bCs/>
          <w:color w:val="000000" w:themeColor="text1"/>
          <w:sz w:val="28"/>
          <w:szCs w:val="28"/>
          <w14:textFill>
            <w14:solidFill>
              <w14:schemeClr w14:val="tx1"/>
            </w14:solidFill>
          </w14:textFill>
        </w:rPr>
        <w:t>5%</w:t>
      </w:r>
      <w:r>
        <w:rPr>
          <w:rFonts w:eastAsia="仿宋"/>
          <w:bCs/>
          <w:color w:val="000000" w:themeColor="text1"/>
          <w:sz w:val="28"/>
          <w:szCs w:val="28"/>
          <w14:textFill>
            <w14:solidFill>
              <w14:schemeClr w14:val="tx1"/>
            </w14:solidFill>
          </w14:textFill>
        </w:rPr>
        <w:t>以内。</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962"/>
        <w:gridCol w:w="1162"/>
        <w:gridCol w:w="1019"/>
        <w:gridCol w:w="1019"/>
        <w:gridCol w:w="160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highlight w:val="yellow"/>
                <w14:textFill>
                  <w14:solidFill>
                    <w14:schemeClr w14:val="tx1"/>
                  </w14:solidFill>
                </w14:textFill>
              </w:rPr>
              <w:t>专栏2</w:t>
            </w:r>
            <w:r>
              <w:rPr>
                <w:rFonts w:ascii="仿宋" w:hAnsi="仿宋" w:eastAsia="仿宋"/>
                <w:b/>
                <w:bCs/>
                <w:color w:val="000000" w:themeColor="text1"/>
                <w:kern w:val="0"/>
                <w:sz w:val="28"/>
                <w:szCs w:val="28"/>
                <w:highlight w:val="yellow"/>
                <w14:textFill>
                  <w14:solidFill>
                    <w14:schemeClr w14:val="tx1"/>
                  </w14:solidFill>
                </w14:textFill>
              </w:rPr>
              <w:t xml:space="preserve">  </w:t>
            </w:r>
            <w:r>
              <w:rPr>
                <w:rFonts w:hint="eastAsia" w:ascii="仿宋" w:hAnsi="仿宋" w:eastAsia="仿宋"/>
                <w:b/>
                <w:bCs/>
                <w:color w:val="000000" w:themeColor="text1"/>
                <w:kern w:val="0"/>
                <w:sz w:val="28"/>
                <w:szCs w:val="28"/>
                <w:highlight w:val="yellow"/>
                <w14:textFill>
                  <w14:solidFill>
                    <w14:schemeClr w14:val="tx1"/>
                  </w14:solidFill>
                </w14:textFill>
              </w:rPr>
              <w:t>抚顺县</w:t>
            </w:r>
            <w:r>
              <w:rPr>
                <w:rFonts w:hint="eastAsia" w:ascii="仿宋" w:hAnsi="仿宋" w:eastAsia="仿宋"/>
                <w:b/>
                <w:bCs/>
                <w:color w:val="000000" w:themeColor="text1"/>
                <w:sz w:val="28"/>
                <w:szCs w:val="28"/>
                <w:highlight w:val="yellow"/>
                <w14:textFill>
                  <w14:solidFill>
                    <w14:schemeClr w14:val="tx1"/>
                  </w14:solidFill>
                </w14:textFill>
              </w:rPr>
              <w:t>“</w:t>
            </w:r>
            <w:r>
              <w:rPr>
                <w:rFonts w:ascii="仿宋" w:hAnsi="仿宋" w:eastAsia="仿宋"/>
                <w:b/>
                <w:bCs/>
                <w:color w:val="000000" w:themeColor="text1"/>
                <w:kern w:val="0"/>
                <w:sz w:val="28"/>
                <w:szCs w:val="28"/>
                <w:highlight w:val="yellow"/>
                <w14:textFill>
                  <w14:solidFill>
                    <w14:schemeClr w14:val="tx1"/>
                  </w14:solidFill>
                </w14:textFill>
              </w:rPr>
              <w:t>十</w:t>
            </w:r>
            <w:r>
              <w:rPr>
                <w:rFonts w:hint="eastAsia" w:ascii="仿宋" w:hAnsi="仿宋" w:eastAsia="仿宋"/>
                <w:b/>
                <w:bCs/>
                <w:color w:val="000000" w:themeColor="text1"/>
                <w:kern w:val="0"/>
                <w:sz w:val="28"/>
                <w:szCs w:val="28"/>
                <w:highlight w:val="yellow"/>
                <w14:textFill>
                  <w14:solidFill>
                    <w14:schemeClr w14:val="tx1"/>
                  </w14:solidFill>
                </w14:textFill>
              </w:rPr>
              <w:t>四</w:t>
            </w:r>
            <w:r>
              <w:rPr>
                <w:rFonts w:ascii="仿宋" w:hAnsi="仿宋" w:eastAsia="仿宋"/>
                <w:b/>
                <w:bCs/>
                <w:color w:val="000000" w:themeColor="text1"/>
                <w:kern w:val="0"/>
                <w:sz w:val="28"/>
                <w:szCs w:val="28"/>
                <w:highlight w:val="yellow"/>
                <w14:textFill>
                  <w14:solidFill>
                    <w14:schemeClr w14:val="tx1"/>
                  </w14:solidFill>
                </w14:textFill>
              </w:rPr>
              <w:t>五”</w:t>
            </w:r>
            <w:r>
              <w:rPr>
                <w:rFonts w:hint="eastAsia" w:ascii="仿宋" w:hAnsi="仿宋" w:eastAsia="仿宋"/>
                <w:b/>
                <w:bCs/>
                <w:color w:val="000000" w:themeColor="text1"/>
                <w:kern w:val="0"/>
                <w:sz w:val="28"/>
                <w:szCs w:val="28"/>
                <w:highlight w:val="yellow"/>
                <w14:textFill>
                  <w14:solidFill>
                    <w14:schemeClr w14:val="tx1"/>
                  </w14:solidFill>
                </w14:textFill>
              </w:rPr>
              <w:t>时期</w:t>
            </w:r>
            <w:r>
              <w:rPr>
                <w:rFonts w:ascii="仿宋" w:hAnsi="仿宋" w:eastAsia="仿宋"/>
                <w:b/>
                <w:bCs/>
                <w:color w:val="000000" w:themeColor="text1"/>
                <w:kern w:val="0"/>
                <w:sz w:val="28"/>
                <w:szCs w:val="28"/>
                <w:highlight w:val="yellow"/>
                <w14:textFill>
                  <w14:solidFill>
                    <w14:schemeClr w14:val="tx1"/>
                  </w14:solidFill>
                </w14:textFill>
              </w:rPr>
              <w:t>经济社会</w:t>
            </w:r>
            <w:r>
              <w:rPr>
                <w:rFonts w:hint="eastAsia" w:ascii="仿宋" w:hAnsi="仿宋" w:eastAsia="仿宋"/>
                <w:b/>
                <w:bCs/>
                <w:color w:val="000000" w:themeColor="text1"/>
                <w:kern w:val="0"/>
                <w:sz w:val="28"/>
                <w:szCs w:val="28"/>
                <w:highlight w:val="yellow"/>
                <w14:textFill>
                  <w14:solidFill>
                    <w14:schemeClr w14:val="tx1"/>
                  </w14:solidFill>
                </w14:textFill>
              </w:rPr>
              <w:t>发展</w:t>
            </w:r>
            <w:r>
              <w:rPr>
                <w:rFonts w:ascii="仿宋" w:hAnsi="仿宋" w:eastAsia="仿宋"/>
                <w:b/>
                <w:bCs/>
                <w:color w:val="000000" w:themeColor="text1"/>
                <w:kern w:val="0"/>
                <w:sz w:val="28"/>
                <w:szCs w:val="28"/>
                <w:highlight w:val="yellow"/>
                <w14:textFill>
                  <w14:solidFill>
                    <w14:schemeClr w14:val="tx1"/>
                  </w14:solidFill>
                </w14:textFill>
              </w:rPr>
              <w:t>主要</w:t>
            </w:r>
            <w:r>
              <w:rPr>
                <w:rFonts w:hint="eastAsia" w:ascii="仿宋" w:hAnsi="仿宋" w:eastAsia="仿宋"/>
                <w:b/>
                <w:bCs/>
                <w:color w:val="000000" w:themeColor="text1"/>
                <w:kern w:val="0"/>
                <w:sz w:val="28"/>
                <w:szCs w:val="28"/>
                <w:highlight w:val="yellow"/>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Align w:val="center"/>
          </w:tcPr>
          <w:p>
            <w:pPr>
              <w:spacing w:line="360" w:lineRule="auto"/>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类别</w:t>
            </w:r>
          </w:p>
        </w:tc>
        <w:tc>
          <w:tcPr>
            <w:tcW w:w="1151" w:type="pct"/>
            <w:vAlign w:val="center"/>
          </w:tcPr>
          <w:p>
            <w:pPr>
              <w:spacing w:line="360" w:lineRule="auto"/>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指 标</w:t>
            </w:r>
          </w:p>
        </w:tc>
        <w:tc>
          <w:tcPr>
            <w:tcW w:w="682" w:type="pct"/>
            <w:vAlign w:val="center"/>
          </w:tcPr>
          <w:p>
            <w:pPr>
              <w:spacing w:line="360" w:lineRule="auto"/>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单 位</w:t>
            </w:r>
          </w:p>
        </w:tc>
        <w:tc>
          <w:tcPr>
            <w:tcW w:w="598" w:type="pct"/>
            <w:vAlign w:val="center"/>
          </w:tcPr>
          <w:p>
            <w:pPr>
              <w:spacing w:line="360" w:lineRule="auto"/>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2020年</w:t>
            </w:r>
          </w:p>
        </w:tc>
        <w:tc>
          <w:tcPr>
            <w:tcW w:w="598" w:type="pct"/>
            <w:vAlign w:val="center"/>
          </w:tcPr>
          <w:p>
            <w:pPr>
              <w:spacing w:line="360" w:lineRule="auto"/>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2025年</w:t>
            </w:r>
          </w:p>
        </w:tc>
        <w:tc>
          <w:tcPr>
            <w:tcW w:w="940" w:type="pct"/>
            <w:vAlign w:val="center"/>
          </w:tcPr>
          <w:p>
            <w:pPr>
              <w:spacing w:line="360" w:lineRule="auto"/>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年均增长</w:t>
            </w:r>
          </w:p>
        </w:tc>
        <w:tc>
          <w:tcPr>
            <w:tcW w:w="561" w:type="pct"/>
            <w:vAlign w:val="center"/>
          </w:tcPr>
          <w:p>
            <w:pPr>
              <w:spacing w:line="360" w:lineRule="auto"/>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restart"/>
            <w:vAlign w:val="center"/>
          </w:tcPr>
          <w:p>
            <w:pPr>
              <w:spacing w:line="360" w:lineRule="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经济发 展</w:t>
            </w:r>
          </w:p>
          <w:p>
            <w:pPr>
              <w:spacing w:line="360" w:lineRule="auto"/>
              <w:rPr>
                <w:rFonts w:eastAsia="仿宋"/>
                <w:b/>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地区生产总值</w:t>
            </w:r>
          </w:p>
        </w:tc>
        <w:tc>
          <w:tcPr>
            <w:tcW w:w="682"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万</w:t>
            </w:r>
            <w:r>
              <w:rPr>
                <w:rFonts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szCs w:val="21"/>
              </w:rPr>
              <w:t>300480</w:t>
            </w: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b/>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一般公共预算</w:t>
            </w:r>
            <w:r>
              <w:rPr>
                <w:rFonts w:eastAsia="仿宋"/>
                <w:color w:val="000000" w:themeColor="text1"/>
                <w:szCs w:val="21"/>
                <w14:textFill>
                  <w14:solidFill>
                    <w14:schemeClr w14:val="tx1"/>
                  </w14:solidFill>
                </w14:textFill>
              </w:rPr>
              <w:t>收入</w:t>
            </w:r>
          </w:p>
        </w:tc>
        <w:tc>
          <w:tcPr>
            <w:tcW w:w="682"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万</w:t>
            </w:r>
            <w:r>
              <w:rPr>
                <w:rFonts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55097</w:t>
            </w: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b/>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社会消费品零售额</w:t>
            </w:r>
          </w:p>
        </w:tc>
        <w:tc>
          <w:tcPr>
            <w:tcW w:w="682"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万</w:t>
            </w:r>
            <w:r>
              <w:rPr>
                <w:rFonts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b/>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规上工业总产值</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万</w:t>
            </w:r>
            <w:r>
              <w:rPr>
                <w:rFonts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185000</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500000</w:t>
            </w: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22%</w:t>
            </w: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1" w:type="pct"/>
            <w:vMerge w:val="continue"/>
            <w:vAlign w:val="center"/>
          </w:tcPr>
          <w:p>
            <w:pPr>
              <w:spacing w:line="360" w:lineRule="auto"/>
              <w:rPr>
                <w:rFonts w:eastAsia="仿宋"/>
                <w:b/>
                <w:color w:val="000000" w:themeColor="text1"/>
                <w:szCs w:val="21"/>
                <w14:textFill>
                  <w14:solidFill>
                    <w14:schemeClr w14:val="tx1"/>
                  </w14:solidFill>
                </w14:textFill>
              </w:rPr>
            </w:pPr>
          </w:p>
        </w:tc>
        <w:tc>
          <w:tcPr>
            <w:tcW w:w="1151" w:type="pct"/>
            <w:vAlign w:val="center"/>
          </w:tcPr>
          <w:p>
            <w:pPr>
              <w:widowControl/>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规上工业</w:t>
            </w:r>
            <w:r>
              <w:rPr>
                <w:rFonts w:hint="eastAsia" w:eastAsia="仿宋"/>
                <w:color w:val="000000" w:themeColor="text1"/>
                <w:szCs w:val="21"/>
                <w14:textFill>
                  <w14:solidFill>
                    <w14:schemeClr w14:val="tx1"/>
                  </w14:solidFill>
                </w14:textFill>
              </w:rPr>
              <w:t>增加</w:t>
            </w:r>
            <w:r>
              <w:rPr>
                <w:rFonts w:eastAsia="仿宋"/>
                <w:color w:val="000000" w:themeColor="text1"/>
                <w:szCs w:val="21"/>
                <w14:textFill>
                  <w14:solidFill>
                    <w14:schemeClr w14:val="tx1"/>
                  </w14:solidFill>
                </w14:textFill>
              </w:rPr>
              <w:t>值</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万</w:t>
            </w:r>
            <w:r>
              <w:rPr>
                <w:rFonts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115000</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300000</w:t>
            </w: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21%</w:t>
            </w: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1" w:type="pct"/>
            <w:vMerge w:val="continue"/>
            <w:vAlign w:val="center"/>
          </w:tcPr>
          <w:p>
            <w:pPr>
              <w:spacing w:line="360" w:lineRule="auto"/>
              <w:rPr>
                <w:rFonts w:eastAsia="仿宋"/>
                <w:b/>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固定资产投资</w:t>
            </w:r>
            <w:r>
              <w:rPr>
                <w:rFonts w:hint="eastAsia" w:eastAsia="仿宋"/>
                <w:color w:val="000000" w:themeColor="text1"/>
                <w:szCs w:val="21"/>
                <w14:textFill>
                  <w14:solidFill>
                    <w14:schemeClr w14:val="tx1"/>
                  </w14:solidFill>
                </w14:textFill>
              </w:rPr>
              <w:t>额</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万</w:t>
            </w:r>
            <w:r>
              <w:rPr>
                <w:rFonts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115000</w:t>
            </w: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widowControl/>
              <w:spacing w:line="360" w:lineRule="auto"/>
              <w:rPr>
                <w:rFonts w:eastAsia="仿宋"/>
                <w:b/>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三次产业比重</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服务业增加值比重</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20.12</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23.7%</w:t>
            </w: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3.6%</w:t>
            </w: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城镇化率</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37</w:t>
            </w: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restart"/>
            <w:vAlign w:val="center"/>
          </w:tcPr>
          <w:p>
            <w:pPr>
              <w:spacing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社 会</w:t>
            </w:r>
            <w:r>
              <w:rPr>
                <w:rFonts w:eastAsia="仿宋"/>
                <w:b/>
                <w:color w:val="000000" w:themeColor="text1"/>
                <w:szCs w:val="21"/>
                <w14:textFill>
                  <w14:solidFill>
                    <w14:schemeClr w14:val="tx1"/>
                  </w14:solidFill>
                </w14:textFill>
              </w:rPr>
              <w:t>发 展</w:t>
            </w:r>
          </w:p>
          <w:p>
            <w:pPr>
              <w:spacing w:line="360" w:lineRule="auto"/>
              <w:jc w:val="center"/>
              <w:rPr>
                <w:rFonts w:eastAsia="仿宋"/>
                <w:color w:val="000000" w:themeColor="text1"/>
                <w:szCs w:val="21"/>
                <w14:textFill>
                  <w14:solidFill>
                    <w14:schemeClr w14:val="tx1"/>
                  </w14:solidFill>
                </w14:textFill>
              </w:rPr>
            </w:pPr>
          </w:p>
        </w:tc>
        <w:tc>
          <w:tcPr>
            <w:tcW w:w="1151" w:type="pct"/>
            <w:vAlign w:val="center"/>
          </w:tcPr>
          <w:p>
            <w:pPr>
              <w:widowControl/>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年末总人口数</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万人</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11.6</w:t>
            </w:r>
          </w:p>
        </w:tc>
        <w:tc>
          <w:tcPr>
            <w:tcW w:w="598" w:type="pct"/>
            <w:vAlign w:val="center"/>
          </w:tcPr>
          <w:p>
            <w:pPr>
              <w:spacing w:line="360" w:lineRule="auto"/>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widowControl/>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城镇登记失业率</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5</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widowControl/>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农村居民人均</w:t>
            </w:r>
            <w:r>
              <w:rPr>
                <w:rFonts w:hint="eastAsia" w:eastAsia="仿宋"/>
                <w:color w:val="000000" w:themeColor="text1"/>
                <w:szCs w:val="21"/>
                <w14:textFill>
                  <w14:solidFill>
                    <w14:schemeClr w14:val="tx1"/>
                  </w14:solidFill>
                </w14:textFill>
              </w:rPr>
              <w:t>可支配</w:t>
            </w:r>
            <w:r>
              <w:rPr>
                <w:rFonts w:eastAsia="仿宋"/>
                <w:color w:val="000000" w:themeColor="text1"/>
                <w:szCs w:val="21"/>
                <w14:textFill>
                  <w14:solidFill>
                    <w14:schemeClr w14:val="tx1"/>
                  </w14:solidFill>
                </w14:textFill>
              </w:rPr>
              <w:t>收入</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元</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ascii="仿宋" w:hAnsi="仿宋" w:eastAsia="仿宋" w:cs="仿宋"/>
                <w:szCs w:val="21"/>
              </w:rPr>
              <w:t>17224</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widowControl/>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农村人口平均期望寿命</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岁</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77.3</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widowControl/>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农村人均标准住宅使用面积</w:t>
            </w:r>
          </w:p>
        </w:tc>
        <w:tc>
          <w:tcPr>
            <w:tcW w:w="682" w:type="pct"/>
            <w:vAlign w:val="center"/>
          </w:tcPr>
          <w:p>
            <w:pPr>
              <w:spacing w:line="360" w:lineRule="auto"/>
              <w:jc w:val="center"/>
              <w:rPr>
                <w:rFonts w:ascii="仿宋" w:hAnsi="仿宋" w:eastAsia="仿宋"/>
                <w:color w:val="000000" w:themeColor="text1"/>
                <w:szCs w:val="21"/>
                <w:vertAlign w:val="superscript"/>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m</w:t>
            </w:r>
            <w:r>
              <w:rPr>
                <w:rFonts w:ascii="仿宋" w:hAnsi="仿宋" w:eastAsia="仿宋"/>
                <w:color w:val="000000" w:themeColor="text1"/>
                <w:szCs w:val="21"/>
                <w:vertAlign w:val="superscript"/>
                <w14:textFill>
                  <w14:solidFill>
                    <w14:schemeClr w14:val="tx1"/>
                  </w14:solidFill>
                </w14:textFill>
              </w:rPr>
              <w:t>2</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62</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940" w:type="pct"/>
            <w:vAlign w:val="center"/>
          </w:tcPr>
          <w:p>
            <w:pPr>
              <w:spacing w:line="360" w:lineRule="auto"/>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restart"/>
            <w:vAlign w:val="center"/>
          </w:tcPr>
          <w:p>
            <w:pPr>
              <w:spacing w:line="360" w:lineRule="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创新驱 动</w:t>
            </w: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科研经费投入占比</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b/>
                <w:bCs/>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高技术产业增加值占工业增加值比重</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0</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5</w:t>
            </w: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科技专项资金</w:t>
            </w:r>
            <w:r>
              <w:rPr>
                <w:rFonts w:hint="eastAsia" w:eastAsia="仿宋"/>
                <w:color w:val="000000" w:themeColor="text1"/>
                <w:szCs w:val="21"/>
                <w14:textFill>
                  <w14:solidFill>
                    <w14:schemeClr w14:val="tx1"/>
                  </w14:solidFill>
                </w14:textFill>
              </w:rPr>
              <w:t>占</w:t>
            </w:r>
            <w:r>
              <w:rPr>
                <w:rFonts w:eastAsia="仿宋"/>
                <w:color w:val="000000" w:themeColor="text1"/>
                <w:szCs w:val="21"/>
                <w14:textFill>
                  <w14:solidFill>
                    <w14:schemeClr w14:val="tx1"/>
                  </w14:solidFill>
                </w14:textFill>
              </w:rPr>
              <w:t>财政支出</w:t>
            </w:r>
            <w:r>
              <w:rPr>
                <w:rFonts w:hint="eastAsia" w:eastAsia="仿宋"/>
                <w:color w:val="000000" w:themeColor="text1"/>
                <w:szCs w:val="21"/>
                <w14:textFill>
                  <w14:solidFill>
                    <w14:schemeClr w14:val="tx1"/>
                  </w14:solidFill>
                </w14:textFill>
              </w:rPr>
              <w:t>比重</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restart"/>
            <w:vAlign w:val="center"/>
          </w:tcPr>
          <w:p>
            <w:pPr>
              <w:widowControl/>
              <w:spacing w:line="360" w:lineRule="auto"/>
              <w:jc w:val="center"/>
              <w:rPr>
                <w:rFonts w:eastAsia="仿宋"/>
                <w:color w:val="000000" w:themeColor="text1"/>
                <w:szCs w:val="21"/>
                <w14:textFill>
                  <w14:solidFill>
                    <w14:schemeClr w14:val="tx1"/>
                  </w14:solidFill>
                </w14:textFill>
              </w:rPr>
            </w:pPr>
            <w:r>
              <w:rPr>
                <w:rFonts w:hint="eastAsia" w:eastAsia="仿宋"/>
                <w:b/>
                <w:bCs/>
                <w:color w:val="000000" w:themeColor="text1"/>
                <w:szCs w:val="21"/>
                <w14:textFill>
                  <w14:solidFill>
                    <w14:schemeClr w14:val="tx1"/>
                  </w14:solidFill>
                </w14:textFill>
              </w:rPr>
              <w:t>资 源环 境</w:t>
            </w: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耕地保有量</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万亩</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36.38</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36.38</w:t>
            </w: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0</w:t>
            </w: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tcBorders>
              <w:bottom w:val="single" w:color="auto" w:sz="4" w:space="0"/>
            </w:tcBorders>
            <w:vAlign w:val="center"/>
          </w:tcPr>
          <w:p>
            <w:pPr>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森林覆盖率</w:t>
            </w:r>
          </w:p>
        </w:tc>
        <w:tc>
          <w:tcPr>
            <w:tcW w:w="682" w:type="pct"/>
            <w:vAlign w:val="center"/>
          </w:tcPr>
          <w:p>
            <w:pPr>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70.18</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70.35</w:t>
            </w:r>
          </w:p>
        </w:tc>
        <w:tc>
          <w:tcPr>
            <w:tcW w:w="940"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0.034</w:t>
            </w: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71" w:type="pct"/>
            <w:vMerge w:val="continue"/>
            <w:vAlign w:val="center"/>
          </w:tcPr>
          <w:p>
            <w:pPr>
              <w:spacing w:line="360" w:lineRule="auto"/>
              <w:rPr>
                <w:rFonts w:eastAsia="仿宋"/>
                <w:color w:val="000000" w:themeColor="text1"/>
                <w:szCs w:val="21"/>
                <w14:textFill>
                  <w14:solidFill>
                    <w14:schemeClr w14:val="tx1"/>
                  </w14:solidFill>
                </w14:textFill>
              </w:rPr>
            </w:pPr>
          </w:p>
        </w:tc>
        <w:tc>
          <w:tcPr>
            <w:tcW w:w="1151" w:type="pct"/>
            <w:vAlign w:val="center"/>
          </w:tcPr>
          <w:p>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森林蓄积量</w:t>
            </w:r>
          </w:p>
        </w:tc>
        <w:tc>
          <w:tcPr>
            <w:tcW w:w="682" w:type="pct"/>
            <w:vAlign w:val="center"/>
          </w:tcPr>
          <w:p>
            <w:pPr>
              <w:spacing w:line="360" w:lineRule="auto"/>
              <w:jc w:val="center"/>
              <w:rPr>
                <w:rFonts w:ascii="仿宋" w:hAnsi="仿宋" w:eastAsia="仿宋"/>
                <w:color w:val="000000" w:themeColor="text1"/>
                <w:szCs w:val="21"/>
                <w:vertAlign w:val="superscript"/>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万立方米</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980.5</w:t>
            </w:r>
          </w:p>
        </w:tc>
        <w:tc>
          <w:tcPr>
            <w:tcW w:w="598" w:type="pct"/>
            <w:vAlign w:val="center"/>
          </w:tcPr>
          <w:p>
            <w:pPr>
              <w:spacing w:line="360" w:lineRule="auto"/>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1146.94</w:t>
            </w:r>
          </w:p>
        </w:tc>
        <w:tc>
          <w:tcPr>
            <w:tcW w:w="940" w:type="pct"/>
            <w:vAlign w:val="center"/>
          </w:tcPr>
          <w:p>
            <w:pPr>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33.28万立方米</w:t>
            </w:r>
          </w:p>
        </w:tc>
        <w:tc>
          <w:tcPr>
            <w:tcW w:w="561" w:type="pct"/>
            <w:vAlign w:val="center"/>
          </w:tcPr>
          <w:p>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约束性</w:t>
            </w:r>
          </w:p>
        </w:tc>
      </w:tr>
    </w:tbl>
    <w:p>
      <w:pPr>
        <w:pStyle w:val="3"/>
        <w:spacing w:line="360" w:lineRule="auto"/>
        <w:jc w:val="center"/>
        <w:rPr>
          <w:rFonts w:ascii="仿宋" w:hAnsi="仿宋" w:eastAsia="仿宋"/>
          <w:b/>
          <w:color w:val="000000" w:themeColor="text1"/>
          <w:szCs w:val="28"/>
          <w14:textFill>
            <w14:solidFill>
              <w14:schemeClr w14:val="tx1"/>
            </w14:solidFill>
          </w14:textFill>
        </w:rPr>
      </w:pPr>
      <w:bookmarkStart w:id="33" w:name="_Toc53698363"/>
      <w:r>
        <w:rPr>
          <w:rFonts w:hint="eastAsia" w:ascii="仿宋" w:hAnsi="仿宋" w:eastAsia="仿宋"/>
          <w:b/>
          <w:color w:val="000000" w:themeColor="text1"/>
          <w:szCs w:val="28"/>
          <w14:textFill>
            <w14:solidFill>
              <w14:schemeClr w14:val="tx1"/>
            </w14:solidFill>
          </w14:textFill>
        </w:rPr>
        <w:t>第三章 “十四五”规划战略重点</w:t>
      </w:r>
      <w:bookmarkEnd w:id="33"/>
    </w:p>
    <w:p>
      <w:pPr>
        <w:pStyle w:val="4"/>
        <w:spacing w:line="360" w:lineRule="auto"/>
        <w:ind w:firstLine="0" w:firstLineChars="0"/>
        <w:jc w:val="center"/>
        <w:rPr>
          <w:color w:val="000000" w:themeColor="text1"/>
          <w14:textFill>
            <w14:solidFill>
              <w14:schemeClr w14:val="tx1"/>
            </w14:solidFill>
          </w14:textFill>
        </w:rPr>
      </w:pPr>
      <w:bookmarkStart w:id="34" w:name="_Toc53698364"/>
      <w:bookmarkStart w:id="35" w:name="_Hlk51310733"/>
      <w:r>
        <w:rPr>
          <w:rFonts w:hint="eastAsia"/>
          <w:color w:val="000000" w:themeColor="text1"/>
          <w14:textFill>
            <w14:solidFill>
              <w14:schemeClr w14:val="tx1"/>
            </w14:solidFill>
          </w14:textFill>
        </w:rPr>
        <w:t>第一节  核心主线：“两谷一带”战略</w:t>
      </w:r>
      <w:bookmarkEnd w:id="34"/>
    </w:p>
    <w:p>
      <w:pPr>
        <w:pStyle w:val="2"/>
        <w:spacing w:line="360" w:lineRule="auto"/>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“十四五”时期，全县将按照“西工”、“中农”、“东旅”的发展定位，</w:t>
      </w:r>
      <w:r>
        <w:rPr>
          <w:rFonts w:hint="eastAsia" w:ascii="仿宋" w:hAnsi="仿宋" w:eastAsia="仿宋"/>
          <w:color w:val="000000" w:themeColor="text1"/>
          <w:sz w:val="28"/>
          <w:szCs w:val="36"/>
          <w14:textFill>
            <w14:solidFill>
              <w14:schemeClr w14:val="tx1"/>
            </w14:solidFill>
          </w14:textFill>
        </w:rPr>
        <w:t>大力推进“两谷一带”建设——</w:t>
      </w:r>
      <w:r>
        <w:rPr>
          <w:rFonts w:hint="eastAsia" w:ascii="仿宋" w:hAnsi="仿宋" w:eastAsia="仿宋" w:cs="仿宋"/>
          <w:color w:val="000000" w:themeColor="text1"/>
          <w:sz w:val="28"/>
          <w:szCs w:val="28"/>
          <w14:textFill>
            <w14:solidFill>
              <w14:schemeClr w14:val="tx1"/>
            </w14:solidFill>
          </w14:textFill>
        </w:rPr>
        <w:t>西部打造“安全谷”、东部打造“养生谷”、中部打造生态农业“观光带”。通过实施“两谷一带”发展战略，突出十二个发力重点，涵盖农业、工业、旅游业等主要产业，辐射连</w:t>
      </w:r>
      <w:r>
        <w:rPr>
          <w:rFonts w:eastAsia="仿宋"/>
          <w:color w:val="000000" w:themeColor="text1"/>
          <w:sz w:val="28"/>
          <w:szCs w:val="28"/>
          <w14:textFill>
            <w14:solidFill>
              <w14:schemeClr w14:val="tx1"/>
            </w14:solidFill>
          </w14:textFill>
        </w:rPr>
        <w:t>接4镇4乡，全面</w:t>
      </w:r>
      <w:r>
        <w:rPr>
          <w:rFonts w:hint="eastAsia" w:ascii="仿宋" w:hAnsi="仿宋" w:eastAsia="仿宋" w:cs="仿宋"/>
          <w:color w:val="000000" w:themeColor="text1"/>
          <w:sz w:val="28"/>
          <w:szCs w:val="28"/>
          <w14:textFill>
            <w14:solidFill>
              <w14:schemeClr w14:val="tx1"/>
            </w14:solidFill>
          </w14:textFill>
        </w:rPr>
        <w:t>实现全县一二三产业的融合发展。</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bookmarkStart w:id="36" w:name="_Hlk52883746"/>
      <w:r>
        <w:rPr>
          <w:rFonts w:hint="eastAsia" w:ascii="仿宋" w:hAnsi="仿宋" w:eastAsia="仿宋"/>
          <w:b/>
          <w:bCs/>
          <w:color w:val="000000" w:themeColor="text1"/>
          <w:sz w:val="28"/>
          <w:szCs w:val="36"/>
          <w14:textFill>
            <w14:solidFill>
              <w14:schemeClr w14:val="tx1"/>
            </w14:solidFill>
          </w14:textFill>
        </w:rPr>
        <w:t>——西部新型工业功能区打造“安全谷”。</w:t>
      </w:r>
      <w:r>
        <w:rPr>
          <w:rFonts w:hint="eastAsia" w:ascii="仿宋" w:hAnsi="仿宋" w:eastAsia="仿宋"/>
          <w:color w:val="000000" w:themeColor="text1"/>
          <w:sz w:val="28"/>
          <w:szCs w:val="36"/>
          <w14:textFill>
            <w14:solidFill>
              <w14:schemeClr w14:val="tx1"/>
            </w14:solidFill>
          </w14:textFill>
        </w:rPr>
        <w:t>将西部“安全谷”定位为</w:t>
      </w:r>
      <w:r>
        <w:rPr>
          <w:rFonts w:hint="eastAsia" w:ascii="仿宋" w:hAnsi="仿宋" w:eastAsia="仿宋" w:cs="仿宋"/>
          <w:color w:val="000000" w:themeColor="text1"/>
          <w:sz w:val="28"/>
          <w:szCs w:val="28"/>
          <w14:textFill>
            <w14:solidFill>
              <w14:schemeClr w14:val="tx1"/>
            </w14:solidFill>
          </w14:textFill>
        </w:rPr>
        <w:t>新型工业功能区，建成“沈抚本经济隆起带”。经济隆起带包含石文、海浪、救兵三个乡镇，整体为“一区四园”结构，包括抚顺县经济开发区核心区（石文新兴产业园和再生资源产业园）、救兵木业产业园和海浪应急产业园。</w:t>
      </w:r>
    </w:p>
    <w:bookmarkEnd w:id="36"/>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——东部生态旅游功能区打造“养生谷”。</w:t>
      </w:r>
      <w:r>
        <w:rPr>
          <w:rFonts w:hint="eastAsia" w:ascii="仿宋" w:hAnsi="仿宋" w:eastAsia="仿宋" w:cs="仿宋"/>
          <w:color w:val="000000" w:themeColor="text1"/>
          <w:sz w:val="28"/>
          <w:szCs w:val="28"/>
          <w14:textFill>
            <w14:solidFill>
              <w14:schemeClr w14:val="tx1"/>
            </w14:solidFill>
          </w14:textFill>
        </w:rPr>
        <w:t>东部“养生谷”定位为旅游业功能区。</w:t>
      </w:r>
      <w:r>
        <w:rPr>
          <w:rFonts w:hint="eastAsia" w:ascii="仿宋" w:hAnsi="仿宋" w:eastAsia="仿宋"/>
          <w:color w:val="000000" w:themeColor="text1"/>
          <w:sz w:val="28"/>
          <w:szCs w:val="36"/>
          <w14:textFill>
            <w14:solidFill>
              <w14:schemeClr w14:val="tx1"/>
            </w14:solidFill>
          </w14:textFill>
        </w:rPr>
        <w:t>以抚金线旅游景观带为轴线，以三块石天女山旅游集聚区为依托，重点建设三块石国家森林公园、三块石温泉综合体、社河国家湿地公园、三块石北坡“一山一水一村寨”、乡村民宿、亲子乐园牧场、百里抗联文化长廊等重点项目，完善天女山、革命遗址等旅游产品基础设施及配套服务设施。</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——中部生态农业功能区打造生态农业“观光带”。</w:t>
      </w:r>
      <w:r>
        <w:rPr>
          <w:rFonts w:hint="eastAsia" w:ascii="仿宋" w:hAnsi="仿宋" w:eastAsia="仿宋" w:cs="仿宋"/>
          <w:color w:val="000000" w:themeColor="text1"/>
          <w:sz w:val="28"/>
          <w:szCs w:val="28"/>
          <w14:textFill>
            <w14:solidFill>
              <w14:schemeClr w14:val="tx1"/>
            </w14:solidFill>
          </w14:textFill>
        </w:rPr>
        <w:t>中部“观光带”定位为生态农业功能区。</w:t>
      </w:r>
      <w:r>
        <w:rPr>
          <w:rFonts w:hint="eastAsia" w:ascii="仿宋" w:hAnsi="仿宋" w:eastAsia="仿宋"/>
          <w:color w:val="000000" w:themeColor="text1"/>
          <w:sz w:val="28"/>
          <w:szCs w:val="36"/>
          <w14:textFill>
            <w14:solidFill>
              <w14:schemeClr w14:val="tx1"/>
            </w14:solidFill>
          </w14:textFill>
        </w:rPr>
        <w:t>围绕一二三产业融合发展，在打造峡河七彩柞蚕谷、石文梨花谷和“通武线”“抚金线”沿线现代农业产业带基础上，构建“三带五纵”农业产业格局，沿“抚金线”发展休闲农业观光带；沿“通武线”发展设施农业休闲观光带；沿“台上线”发展“环水有机农业产业带”，在“两谷两线”上实现突破。</w:t>
      </w:r>
    </w:p>
    <w:p>
      <w:pPr>
        <w:pStyle w:val="4"/>
        <w:spacing w:line="360" w:lineRule="auto"/>
        <w:ind w:firstLine="0" w:firstLineChars="0"/>
        <w:jc w:val="center"/>
        <w:rPr>
          <w:color w:val="000000" w:themeColor="text1"/>
          <w14:textFill>
            <w14:solidFill>
              <w14:schemeClr w14:val="tx1"/>
            </w14:solidFill>
          </w14:textFill>
        </w:rPr>
      </w:pPr>
      <w:bookmarkStart w:id="37" w:name="_Toc53698365"/>
      <w:r>
        <w:rPr>
          <w:rFonts w:hint="eastAsia"/>
          <w:color w:val="000000" w:themeColor="text1"/>
          <w14:textFill>
            <w14:solidFill>
              <w14:schemeClr w14:val="tx1"/>
            </w14:solidFill>
          </w14:textFill>
        </w:rPr>
        <w:t>第二节  着力基点：融合发展战略</w:t>
      </w:r>
      <w:bookmarkEnd w:id="37"/>
    </w:p>
    <w:p>
      <w:pPr>
        <w:pStyle w:val="2"/>
        <w:spacing w:line="360" w:lineRule="auto"/>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“十四五”时期，全面扩大对外开放、促进双循环良性互动。</w:t>
      </w:r>
      <w:r>
        <w:rPr>
          <w:rFonts w:ascii="仿宋" w:hAnsi="仿宋" w:eastAsia="仿宋"/>
          <w:color w:val="000000" w:themeColor="text1"/>
          <w:sz w:val="28"/>
          <w:szCs w:val="36"/>
          <w14:textFill>
            <w14:solidFill>
              <w14:schemeClr w14:val="tx1"/>
            </w14:solidFill>
          </w14:textFill>
        </w:rPr>
        <w:t xml:space="preserve"> </w:t>
      </w:r>
      <w:r>
        <w:rPr>
          <w:rFonts w:hint="eastAsia" w:ascii="仿宋" w:hAnsi="仿宋" w:eastAsia="仿宋"/>
          <w:color w:val="000000" w:themeColor="text1"/>
          <w:sz w:val="28"/>
          <w:szCs w:val="36"/>
          <w14:textFill>
            <w14:solidFill>
              <w14:schemeClr w14:val="tx1"/>
            </w14:solidFill>
          </w14:textFill>
        </w:rPr>
        <w:t>借助毗邻</w:t>
      </w:r>
      <w:r>
        <w:rPr>
          <w:rFonts w:hint="eastAsia" w:ascii="仿宋" w:hAnsi="仿宋" w:eastAsia="仿宋"/>
          <w:color w:val="000000" w:themeColor="text1"/>
          <w:sz w:val="28"/>
          <w:szCs w:val="28"/>
          <w14:textFill>
            <w14:solidFill>
              <w14:schemeClr w14:val="tx1"/>
            </w14:solidFill>
          </w14:textFill>
        </w:rPr>
        <w:t>沈阳-鞍山-抚顺经济区和沈抚改革创新示范区的区位优势，积极融入区域一体化建设；</w:t>
      </w:r>
      <w:bookmarkStart w:id="38" w:name="_Hlk52882143"/>
      <w:r>
        <w:rPr>
          <w:rFonts w:hint="eastAsia" w:ascii="仿宋" w:hAnsi="仿宋" w:eastAsia="仿宋"/>
          <w:color w:val="000000" w:themeColor="text1"/>
          <w:sz w:val="28"/>
          <w:szCs w:val="28"/>
          <w14:textFill>
            <w14:solidFill>
              <w14:schemeClr w14:val="tx1"/>
            </w14:solidFill>
          </w14:textFill>
        </w:rPr>
        <w:t>依托产业园区布局，积极推进一二三产业融合和产城融合；抓住数字经济发展机遇，推动信息技术与传统产业结合，实现两化融合。</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——基础设施融合。</w:t>
      </w:r>
      <w:r>
        <w:rPr>
          <w:rFonts w:hint="eastAsia" w:ascii="仿宋" w:hAnsi="仿宋" w:eastAsia="仿宋"/>
          <w:color w:val="000000" w:themeColor="text1"/>
          <w:sz w:val="28"/>
          <w:szCs w:val="36"/>
          <w14:textFill>
            <w14:solidFill>
              <w14:schemeClr w14:val="tx1"/>
            </w14:solidFill>
          </w14:textFill>
        </w:rPr>
        <w:t>“十四五”期间，加快我县道路、交通、通讯等基础设施建设，进一步优化路网布局，增强与沈抚本互联互通的道路交通网络，加快信息基础设施建设，逐步实现基础设施一体化，为实现区域融合发展提供必要支撑。</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——产业融合。</w:t>
      </w:r>
      <w:r>
        <w:rPr>
          <w:rFonts w:hint="eastAsia" w:ascii="仿宋" w:hAnsi="仿宋" w:eastAsia="仿宋"/>
          <w:color w:val="000000" w:themeColor="text1"/>
          <w:sz w:val="28"/>
          <w:szCs w:val="36"/>
          <w14:textFill>
            <w14:solidFill>
              <w14:schemeClr w14:val="tx1"/>
            </w14:solidFill>
          </w14:textFill>
        </w:rPr>
        <w:t>“十四五”期间，继续推动我县一二三产业融合，尤其是加强农业与旅游业融合、现代服务业与工业融合、文化业与旅游业融合。主动承接沈阳经济区产业转移和沈抚一体化带动辐射，</w:t>
      </w:r>
      <w:r>
        <w:rPr>
          <w:rFonts w:ascii="仿宋" w:hAnsi="仿宋" w:eastAsia="仿宋"/>
          <w:color w:val="000000" w:themeColor="text1"/>
          <w:sz w:val="28"/>
          <w:szCs w:val="36"/>
          <w14:textFill>
            <w14:solidFill>
              <w14:schemeClr w14:val="tx1"/>
            </w14:solidFill>
          </w14:textFill>
        </w:rPr>
        <w:t xml:space="preserve"> </w:t>
      </w:r>
      <w:r>
        <w:rPr>
          <w:rFonts w:hint="eastAsia" w:ascii="仿宋" w:hAnsi="仿宋" w:eastAsia="仿宋"/>
          <w:color w:val="000000" w:themeColor="text1"/>
          <w:sz w:val="28"/>
          <w:szCs w:val="36"/>
          <w14:textFill>
            <w14:solidFill>
              <w14:schemeClr w14:val="tx1"/>
            </w14:solidFill>
          </w14:textFill>
        </w:rPr>
        <w:t>打造区域经济共同体，实现融合联动发展。</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——产城融合。</w:t>
      </w:r>
      <w:r>
        <w:rPr>
          <w:rFonts w:hint="eastAsia" w:ascii="仿宋" w:hAnsi="仿宋" w:eastAsia="仿宋"/>
          <w:color w:val="000000" w:themeColor="text1"/>
          <w:sz w:val="28"/>
          <w:szCs w:val="36"/>
          <w14:textFill>
            <w14:solidFill>
              <w14:schemeClr w14:val="tx1"/>
            </w14:solidFill>
          </w14:textFill>
        </w:rPr>
        <w:t>“十四五”期间，以产业园区建设为载体，充分融合新技术、新制度、生活功能、服务职能，与城市充分交融，实现工业化和城镇化相互促进，加速构筑一批空间布局合理、产业特色鲜明、功能配置完善、资源持续利用、支撑效应明显的特色园区集群，加快形成“以产兴城、以城促产、产城一体”的发展格局。</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——制度环境融合。</w:t>
      </w:r>
      <w:r>
        <w:rPr>
          <w:rFonts w:hint="eastAsia" w:ascii="仿宋" w:hAnsi="仿宋" w:eastAsia="仿宋"/>
          <w:color w:val="000000" w:themeColor="text1"/>
          <w:sz w:val="28"/>
          <w:szCs w:val="36"/>
          <w14:textFill>
            <w14:solidFill>
              <w14:schemeClr w14:val="tx1"/>
            </w14:solidFill>
          </w14:textFill>
        </w:rPr>
        <w:t>“十四五”期间，加快软环境服务与建设，加强区域交流与合作，共创开放、互利的营商环境；比照沈抚改革创新示范区的优惠政策，探索争取在资金、土地、人才等资源方面享受适当的优惠政策。</w:t>
      </w:r>
    </w:p>
    <w:p>
      <w:pPr>
        <w:pStyle w:val="2"/>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——工业化与信息化融合。</w:t>
      </w:r>
      <w:r>
        <w:rPr>
          <w:rFonts w:hint="eastAsia" w:ascii="仿宋" w:hAnsi="仿宋" w:eastAsia="仿宋"/>
          <w:color w:val="000000" w:themeColor="text1"/>
          <w:sz w:val="28"/>
          <w:szCs w:val="36"/>
          <w14:textFill>
            <w14:solidFill>
              <w14:schemeClr w14:val="tx1"/>
            </w14:solidFill>
          </w14:textFill>
        </w:rPr>
        <w:t>“十四五”期间，推动移动互联网、物联网、云计算、5G和人工智能等技术向各行业全面融合渗透，尤其是重点深化信息技术与矿业、木业、装备制造、电子商务、新材料等产业的应用，深入推进信息技术与实体经济融合发展。</w:t>
      </w:r>
    </w:p>
    <w:bookmarkEnd w:id="38"/>
    <w:p>
      <w:pPr>
        <w:pStyle w:val="4"/>
        <w:spacing w:line="360" w:lineRule="auto"/>
        <w:ind w:firstLine="0" w:firstLineChars="0"/>
        <w:jc w:val="center"/>
        <w:rPr>
          <w:color w:val="000000" w:themeColor="text1"/>
          <w14:textFill>
            <w14:solidFill>
              <w14:schemeClr w14:val="tx1"/>
            </w14:solidFill>
          </w14:textFill>
        </w:rPr>
      </w:pPr>
      <w:bookmarkStart w:id="39" w:name="_Toc53698366"/>
      <w:r>
        <w:rPr>
          <w:rFonts w:hint="eastAsia"/>
          <w:color w:val="000000" w:themeColor="text1"/>
          <w14:textFill>
            <w14:solidFill>
              <w14:schemeClr w14:val="tx1"/>
            </w14:solidFill>
          </w14:textFill>
        </w:rPr>
        <w:t>第三节  主攻方向：品牌战略</w:t>
      </w:r>
      <w:bookmarkEnd w:id="39"/>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“十四五”时期，全县将围绕“两谷一带”战略布局，结合优势优势，狠抓特色，稳步开展我县品牌战略——夯实特色农业品牌、打造全域旅游品牌、增强本土工业品牌和升级文化品牌。</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——夯实特色农业品牌。</w:t>
      </w:r>
      <w:r>
        <w:rPr>
          <w:rFonts w:hint="eastAsia" w:ascii="仿宋" w:hAnsi="仿宋" w:eastAsia="仿宋"/>
          <w:color w:val="000000" w:themeColor="text1"/>
          <w:sz w:val="28"/>
          <w:szCs w:val="28"/>
          <w14:textFill>
            <w14:solidFill>
              <w14:schemeClr w14:val="tx1"/>
            </w14:solidFill>
          </w14:textFill>
        </w:rPr>
        <w:t>“十四五”时期，充分挖掘我县特色农产品的优势和效益，发挥我县特色农业发展优势，大力发展绿色有机农产品，提升抚顺县单片黑木耳、香菇、大果榛子等特色农产品品牌的影响力。继续提高“大伙房”牌和“唐老大”牌杂粮，以及“三块石”牌有机米等抚顺县自主、特色品牌知名度。</w:t>
      </w:r>
      <w:r>
        <w:rPr>
          <w:rFonts w:ascii="仿宋" w:hAnsi="仿宋" w:eastAsia="仿宋"/>
          <w:color w:val="000000" w:themeColor="text1"/>
          <w:sz w:val="28"/>
          <w:szCs w:val="28"/>
          <w14:textFill>
            <w14:solidFill>
              <w14:schemeClr w14:val="tx1"/>
            </w14:solidFill>
          </w14:textFill>
        </w:rPr>
        <w:t xml:space="preserve"> </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——打造全域旅游品牌。</w:t>
      </w:r>
      <w:r>
        <w:rPr>
          <w:rFonts w:hint="eastAsia" w:ascii="仿宋" w:hAnsi="仿宋" w:eastAsia="仿宋"/>
          <w:color w:val="000000" w:themeColor="text1"/>
          <w:sz w:val="28"/>
          <w:szCs w:val="28"/>
          <w14:textFill>
            <w14:solidFill>
              <w14:schemeClr w14:val="tx1"/>
            </w14:solidFill>
          </w14:textFill>
        </w:rPr>
        <w:t>“十四五”时期，围绕生态休闲度假产品、红色研学产品、乡村旅游产品等，树立以“神奇天女山、多彩三块石、百里休闲采摘带”为核心的“两山一带”旅游品牌形象，打造特色旅游产品品牌、旅游企业品牌、旅游商品品牌、旅游服务品牌等，提升旅游品牌核心竞争力。</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——增强本土工业品牌。</w:t>
      </w:r>
      <w:r>
        <w:rPr>
          <w:rFonts w:hint="eastAsia" w:ascii="仿宋" w:hAnsi="仿宋" w:eastAsia="仿宋"/>
          <w:color w:val="000000" w:themeColor="text1"/>
          <w:sz w:val="28"/>
          <w:szCs w:val="28"/>
          <w14:textFill>
            <w14:solidFill>
              <w14:schemeClr w14:val="tx1"/>
            </w14:solidFill>
          </w14:textFill>
        </w:rPr>
        <w:t>“十四五”时期，增强我县矿业、木业、环保产业等优势产业质量品牌建设，发挥地方龙头企业的引领作用，通过发展行业协会，建设统一品牌。在后疫情时代，推动我县工业逐步适应产业链供应链本土化发展趋势，力争建立一批在沈抚地区具有一定影响力和较强竞争力的工业企业品牌。</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——升级文化品牌。</w:t>
      </w:r>
      <w:r>
        <w:rPr>
          <w:rFonts w:hint="eastAsia" w:ascii="仿宋" w:hAnsi="仿宋" w:eastAsia="仿宋"/>
          <w:color w:val="000000" w:themeColor="text1"/>
          <w:sz w:val="28"/>
          <w:szCs w:val="28"/>
          <w14:textFill>
            <w14:solidFill>
              <w14:schemeClr w14:val="tx1"/>
            </w14:solidFill>
          </w14:textFill>
        </w:rPr>
        <w:t>“十四五”时期，以唐朝、满清时代文化遗址为底蕴，传承红色基因，弘扬抗联精神，推动雷锋文化与文化产业深度融合，以争创“两山理论实践创新基地”为目标，以“文化强县”为根本，形成体系完备、结构合理、人才集聚、效益显著、特色鲜明的文化产业新格局，升级我县文化品牌。</w:t>
      </w:r>
    </w:p>
    <w:p>
      <w:pPr>
        <w:pStyle w:val="4"/>
        <w:spacing w:line="360" w:lineRule="auto"/>
        <w:ind w:firstLine="0" w:firstLineChars="0"/>
        <w:jc w:val="center"/>
        <w:rPr>
          <w:color w:val="000000" w:themeColor="text1"/>
          <w14:textFill>
            <w14:solidFill>
              <w14:schemeClr w14:val="tx1"/>
            </w14:solidFill>
          </w14:textFill>
        </w:rPr>
      </w:pPr>
      <w:bookmarkStart w:id="40" w:name="_Toc53698367"/>
      <w:r>
        <w:rPr>
          <w:rFonts w:hint="eastAsia"/>
          <w:color w:val="000000" w:themeColor="text1"/>
          <w14:textFill>
            <w14:solidFill>
              <w14:schemeClr w14:val="tx1"/>
            </w14:solidFill>
          </w14:textFill>
        </w:rPr>
        <w:t>第四节  重要抓手：项目带动战略</w:t>
      </w:r>
      <w:bookmarkEnd w:id="40"/>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——强化项目包装。</w:t>
      </w:r>
      <w:r>
        <w:rPr>
          <w:rFonts w:hint="eastAsia" w:ascii="仿宋" w:hAnsi="仿宋" w:eastAsia="仿宋"/>
          <w:color w:val="000000" w:themeColor="text1"/>
          <w:sz w:val="28"/>
          <w:szCs w:val="36"/>
          <w14:textFill>
            <w14:solidFill>
              <w14:schemeClr w14:val="tx1"/>
            </w14:solidFill>
          </w14:textFill>
        </w:rPr>
        <w:t>“十四五“时期，围绕我县经济社会发展短板，有针对性地做好项目的包装和争取工作，</w:t>
      </w:r>
      <w:r>
        <w:rPr>
          <w:rFonts w:hint="eastAsia" w:ascii="仿宋" w:hAnsi="仿宋" w:eastAsia="仿宋"/>
          <w:color w:val="000000" w:themeColor="text1"/>
          <w:sz w:val="28"/>
          <w:szCs w:val="28"/>
          <w14:textFill>
            <w14:solidFill>
              <w14:schemeClr w14:val="tx1"/>
            </w14:solidFill>
          </w14:textFill>
        </w:rPr>
        <w:t>争取更多的地债资金和中央专项资金支持，</w:t>
      </w:r>
      <w:r>
        <w:rPr>
          <w:rFonts w:hint="eastAsia" w:ascii="仿宋" w:hAnsi="仿宋" w:eastAsia="仿宋"/>
          <w:color w:val="000000" w:themeColor="text1"/>
          <w:sz w:val="28"/>
          <w:szCs w:val="36"/>
          <w14:textFill>
            <w14:solidFill>
              <w14:schemeClr w14:val="tx1"/>
            </w14:solidFill>
          </w14:textFill>
        </w:rPr>
        <w:t>增强争取项目资金的有效性和针对性。</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——加快项目引进。</w:t>
      </w:r>
      <w:r>
        <w:rPr>
          <w:rFonts w:hint="eastAsia" w:ascii="仿宋" w:hAnsi="仿宋" w:eastAsia="仿宋"/>
          <w:color w:val="000000" w:themeColor="text1"/>
          <w:sz w:val="28"/>
          <w:szCs w:val="36"/>
          <w14:textFill>
            <w14:solidFill>
              <w14:schemeClr w14:val="tx1"/>
            </w14:solidFill>
          </w14:textFill>
        </w:rPr>
        <w:t>“十四五“时期，</w:t>
      </w:r>
      <w:r>
        <w:rPr>
          <w:rFonts w:hint="eastAsia" w:ascii="仿宋" w:hAnsi="仿宋" w:eastAsia="仿宋"/>
          <w:color w:val="000000" w:themeColor="text1"/>
          <w:sz w:val="28"/>
          <w:szCs w:val="28"/>
          <w14:textFill>
            <w14:solidFill>
              <w14:schemeClr w14:val="tx1"/>
            </w14:solidFill>
          </w14:textFill>
        </w:rPr>
        <w:t>围绕壮大我县产业、推动经济快速发展，加快项目引进，加大招商引资力度，吸引更多的社会资本注入我县，从工业、旅游、服务、商贸流通等方面增强企业建设，为经济发展积蓄动能。</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——提升项目服务。</w:t>
      </w:r>
      <w:r>
        <w:rPr>
          <w:rFonts w:hint="eastAsia" w:ascii="仿宋" w:hAnsi="仿宋" w:eastAsia="仿宋"/>
          <w:color w:val="000000" w:themeColor="text1"/>
          <w:sz w:val="28"/>
          <w:szCs w:val="36"/>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十四五”时期，围绕项目落地实施、开工建设，强化为项目服务工作，尤其是做好土地要素方面的保障。在完善前期手续、帮助企业化解矛盾、破解难题，安排好项目管家、领导包保等方面提升工作水平，做到全方位、不遗余力地推动项目建设。</w:t>
      </w:r>
    </w:p>
    <w:p>
      <w:pPr>
        <w:pStyle w:val="4"/>
        <w:spacing w:line="360" w:lineRule="auto"/>
        <w:ind w:firstLine="0" w:firstLineChars="0"/>
        <w:jc w:val="center"/>
        <w:rPr>
          <w:color w:val="000000" w:themeColor="text1"/>
          <w14:textFill>
            <w14:solidFill>
              <w14:schemeClr w14:val="tx1"/>
            </w14:solidFill>
          </w14:textFill>
        </w:rPr>
      </w:pPr>
      <w:bookmarkStart w:id="41" w:name="_Toc53698368"/>
      <w:r>
        <w:rPr>
          <w:rFonts w:hint="eastAsia"/>
          <w:color w:val="000000" w:themeColor="text1"/>
          <w14:textFill>
            <w14:solidFill>
              <w14:schemeClr w14:val="tx1"/>
            </w14:solidFill>
          </w14:textFill>
        </w:rPr>
        <w:t>第五节  关键支撑：人才战略</w:t>
      </w:r>
      <w:bookmarkEnd w:id="41"/>
    </w:p>
    <w:p>
      <w:pPr>
        <w:spacing w:line="360" w:lineRule="auto"/>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十四五”时期，抚顺县人才工作必须坚持“人才第一资源”的理念，立足抚顺县“两谷一带”整体布局，统筹“人才强县”战略，更加注重高端引领、整体开发，更加突出人才优先、以用为本，不断开创人才辈出、人尽其才的新局面，为加快抚顺县全面振兴提供有力人才支撑和智力保障。</w:t>
      </w:r>
    </w:p>
    <w:p>
      <w:pPr>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——全面加强人才发展体制机制创新。</w:t>
      </w:r>
      <w:r>
        <w:rPr>
          <w:rFonts w:hint="eastAsia" w:ascii="仿宋" w:hAnsi="仿宋" w:eastAsia="仿宋"/>
          <w:color w:val="000000" w:themeColor="text1"/>
          <w:sz w:val="28"/>
          <w:szCs w:val="36"/>
          <w14:textFill>
            <w14:solidFill>
              <w14:schemeClr w14:val="tx1"/>
            </w14:solidFill>
          </w14:textFill>
        </w:rPr>
        <w:t>完善人才管理机制，破除束缚人才发展的思想观念和体制机制障碍，进一步健全完善党管人才分工协作机制。健全人才培养机制，大力实施人才培养工程，统筹抚顺县重点产业发展和人才培养开发规划。改进人才评价机制，建立科学化、社会化、市场化的人才评价制度，充分激发人才评价“指挥棒”作用。创新引才引智机制，对抚顺县重点产业急需紧缺的高层次人才和特殊人才，开辟专门渠道，实行特殊政策，简化引进程序。</w:t>
      </w:r>
    </w:p>
    <w:p>
      <w:pPr>
        <w:pStyle w:val="2"/>
        <w:ind w:firstLine="562" w:firstLineChars="200"/>
        <w:rPr>
          <w:color w:val="000000" w:themeColor="text1"/>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——持续推进各类人才队伍协调发展。</w:t>
      </w:r>
      <w:r>
        <w:rPr>
          <w:rFonts w:hint="eastAsia" w:ascii="仿宋" w:hAnsi="仿宋" w:eastAsia="仿宋"/>
          <w:color w:val="000000" w:themeColor="text1"/>
          <w:sz w:val="28"/>
          <w:szCs w:val="36"/>
          <w14:textFill>
            <w14:solidFill>
              <w14:schemeClr w14:val="tx1"/>
            </w14:solidFill>
          </w14:textFill>
        </w:rPr>
        <w:t>鼓励企业根据需要建立首席技师制度，广泛开展各种形式的职业技能竞赛和岗位练兵活动，培养一批“抚顺县工匠”；提升农村实用人才致富能力，继续实施新型职业农民培育工程，积极扶持农村实用人才创业兴业；进一步加大以“职业农民”为主体的农产品经纪人、农村经济合作组织带头人、“三向培养”对象培养力度，培育一批懂经营、善管理、有素质的农村创新创业的主力军。</w:t>
      </w:r>
    </w:p>
    <w:p>
      <w:pPr>
        <w:spacing w:line="360" w:lineRule="auto"/>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——着力抓实抚顺县人才引育用留载体。</w:t>
      </w:r>
      <w:r>
        <w:rPr>
          <w:rFonts w:hint="eastAsia" w:ascii="仿宋" w:hAnsi="仿宋" w:eastAsia="仿宋"/>
          <w:color w:val="000000" w:themeColor="text1"/>
          <w:sz w:val="28"/>
          <w:szCs w:val="36"/>
          <w14:textFill>
            <w14:solidFill>
              <w14:schemeClr w14:val="tx1"/>
            </w14:solidFill>
          </w14:textFill>
        </w:rPr>
        <w:t>狠抓“双招双引”工程，建立重大项目人才全程保障机制，对具有突出创新能力的人才和团队实施个性化支持，实现重点项目和紧缺人才一体推进、同步落地。充分发挥高校和科研院所主导作用，着力推进校地、校企共建产学研技术创新平台。立足抚顺县技能人才优势，强化完善“劳模创新工作室联盟”等载体功能，打造我县高技能人才和高素质劳动者队伍。完善人才服务体系，继续实施“人才安心暖心”工程，继续做好人才引领研修、典型选树、宣传凝聚等工作。</w:t>
      </w:r>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35"/>
    <w:p>
      <w:pPr>
        <w:pStyle w:val="3"/>
        <w:spacing w:line="360" w:lineRule="auto"/>
        <w:jc w:val="center"/>
        <w:rPr>
          <w:rFonts w:ascii="仿宋" w:hAnsi="仿宋" w:eastAsia="仿宋"/>
          <w:b/>
          <w:color w:val="000000" w:themeColor="text1"/>
          <w:szCs w:val="28"/>
          <w14:textFill>
            <w14:solidFill>
              <w14:schemeClr w14:val="tx1"/>
            </w14:solidFill>
          </w14:textFill>
        </w:rPr>
      </w:pPr>
      <w:bookmarkStart w:id="42" w:name="_Toc53698369"/>
      <w:r>
        <w:rPr>
          <w:rFonts w:hint="eastAsia" w:ascii="仿宋" w:hAnsi="仿宋" w:eastAsia="仿宋"/>
          <w:b/>
          <w:color w:val="000000" w:themeColor="text1"/>
          <w:szCs w:val="28"/>
          <w14:textFill>
            <w14:solidFill>
              <w14:schemeClr w14:val="tx1"/>
            </w14:solidFill>
          </w14:textFill>
        </w:rPr>
        <w:t>第四章 “十四五”规划主要任务</w:t>
      </w:r>
      <w:bookmarkEnd w:id="42"/>
    </w:p>
    <w:p>
      <w:pPr>
        <w:pStyle w:val="4"/>
        <w:spacing w:line="360" w:lineRule="auto"/>
        <w:ind w:firstLine="0" w:firstLineChars="0"/>
        <w:jc w:val="center"/>
        <w:rPr>
          <w:color w:val="000000" w:themeColor="text1"/>
          <w14:textFill>
            <w14:solidFill>
              <w14:schemeClr w14:val="tx1"/>
            </w14:solidFill>
          </w14:textFill>
        </w:rPr>
      </w:pPr>
      <w:bookmarkStart w:id="43" w:name="_Toc53698370"/>
      <w:r>
        <w:rPr>
          <w:rFonts w:hint="eastAsia"/>
          <w:color w:val="000000" w:themeColor="text1"/>
          <w14:textFill>
            <w14:solidFill>
              <w14:schemeClr w14:val="tx1"/>
            </w14:solidFill>
          </w14:textFill>
        </w:rPr>
        <w:t>第一节</w:t>
      </w:r>
      <w:bookmarkStart w:id="44" w:name="_Toc432622977"/>
      <w:bookmarkStart w:id="45" w:name="_Toc432623364"/>
      <w:bookmarkStart w:id="46" w:name="_Toc432623624"/>
      <w:r>
        <w:rPr>
          <w:rFonts w:hint="eastAsia"/>
          <w:color w:val="000000" w:themeColor="text1"/>
          <w14:textFill>
            <w14:solidFill>
              <w14:schemeClr w14:val="tx1"/>
            </w14:solidFill>
          </w14:textFill>
        </w:rPr>
        <w:t xml:space="preserve">  推动全面深化改革：优化营商环境</w:t>
      </w:r>
      <w:bookmarkEnd w:id="44"/>
      <w:bookmarkEnd w:id="45"/>
      <w:bookmarkEnd w:id="46"/>
      <w:r>
        <w:rPr>
          <w:rFonts w:hint="eastAsia"/>
          <w:color w:val="000000" w:themeColor="text1"/>
          <w14:textFill>
            <w14:solidFill>
              <w14:schemeClr w14:val="tx1"/>
            </w14:solidFill>
          </w14:textFill>
        </w:rPr>
        <w:t>，加快项目建设</w:t>
      </w:r>
      <w:bookmarkEnd w:id="43"/>
    </w:p>
    <w:p>
      <w:pPr>
        <w:tabs>
          <w:tab w:val="left" w:pos="3240"/>
        </w:tabs>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营商环境是企业生存发展的土壤，直接反应地区企业市场竞争力。“十四五”期间，抚顺县继续着力转变政府职能，扎实推进“放管服”改革，优化营商环境、便利企业生产经营和创业创新。通过招商引资，进行项目对接、产业链对接，协调解决资金等要素，实现盘活再生产。</w:t>
      </w:r>
      <w:r>
        <w:rPr>
          <w:rFonts w:hint="eastAsia" w:ascii="仿宋" w:hAnsi="仿宋" w:eastAsia="仿宋"/>
          <w:color w:val="000000" w:themeColor="text1"/>
          <w:sz w:val="28"/>
          <w:szCs w:val="28"/>
          <w14:textFill>
            <w14:solidFill>
              <w14:schemeClr w14:val="tx1"/>
            </w14:solidFill>
          </w14:textFill>
        </w:rPr>
        <w:t>通过加强营商环境导向作用、建立健全行政审批制度、完善政府绩效考核体系和自觉畅通各界监督渠道方式，</w:t>
      </w:r>
      <w:r>
        <w:rPr>
          <w:rFonts w:hint="eastAsia" w:ascii="仿宋" w:hAnsi="仿宋" w:eastAsia="仿宋" w:cs="仿宋"/>
          <w:color w:val="000000" w:themeColor="text1"/>
          <w:sz w:val="28"/>
          <w:szCs w:val="28"/>
          <w14:textFill>
            <w14:solidFill>
              <w14:schemeClr w14:val="tx1"/>
            </w14:solidFill>
          </w14:textFill>
        </w:rPr>
        <w:t>抚顺县力争通过着眼促进经济高质量发展，进一步加大改革开放创新力度，各类企业实行一视同仁、公平竞争的政策，加快打造市场化、法治化的一流营商环境，使抚顺县成为企业投资发展、合作共赢的热土。</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——完善信用体系建设，构建亲清政商关系。</w:t>
      </w:r>
      <w:r>
        <w:rPr>
          <w:rFonts w:hint="eastAsia" w:ascii="仿宋" w:hAnsi="仿宋" w:eastAsia="仿宋" w:cs="仿宋"/>
          <w:color w:val="000000" w:themeColor="text1"/>
          <w:sz w:val="28"/>
          <w:szCs w:val="28"/>
          <w14:textFill>
            <w14:solidFill>
              <w14:schemeClr w14:val="tx1"/>
            </w14:solidFill>
          </w14:textFill>
        </w:rPr>
        <w:t>加强政府诚信建设，规范政府在重点领域的诚信行为。做好重点领域信用分级分类监管，建立健全信用分级分类监管系统，健全事前信用承诺制度，完善事中、事后信用监管机制。健全信用平台，推进县级公共信用信息平台建设，扩大信用信息征集范围，融通信息征集途径。提升政务诚信、信用承诺、分级分类监管等重点领域的信息轨迹处理能力。积极构建亲清新型政商关系，规范政商交往行为，推动建立政商交往正面清单和负面清单，推动政商正常交往、真诚交往，贴近服务企业；畅通政企沟通渠道，建立健全企业家座谈会、专题办公会等工作机制，增进政企互动。开展优化营商环境督查工作，定期采取明察、暗访等形式，对各单位行政审批、服务企业、执法检查、行政处罚、融资环境、涉企收费、“新官不理旧账”、部门单位承诺不兑现等涉及营商环境各项工作进行监督检查。</w:t>
      </w:r>
    </w:p>
    <w:p>
      <w:pPr>
        <w:widowControl/>
        <w:shd w:val="clear" w:color="auto" w:fill="FFFFFF"/>
        <w:spacing w:line="360" w:lineRule="auto"/>
        <w:ind w:firstLine="562" w:firstLineChars="200"/>
        <w:textAlignment w:val="baseline"/>
        <w:rPr>
          <w:rStyle w:val="41"/>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w:t>
      </w:r>
      <w:r>
        <w:rPr>
          <w:rStyle w:val="41"/>
          <w:rFonts w:hint="eastAsia" w:ascii="仿宋" w:hAnsi="仿宋" w:eastAsia="仿宋" w:cs="楷体"/>
          <w:b/>
          <w:bCs/>
          <w:color w:val="000000" w:themeColor="text1"/>
          <w:sz w:val="28"/>
          <w:szCs w:val="28"/>
          <w14:textFill>
            <w14:solidFill>
              <w14:schemeClr w14:val="tx1"/>
            </w14:solidFill>
          </w14:textFill>
        </w:rPr>
        <w:t>完善商务执法职能，健全行政审批制度</w:t>
      </w:r>
      <w:r>
        <w:rPr>
          <w:rFonts w:hint="eastAsia" w:ascii="仿宋" w:hAnsi="仿宋" w:eastAsia="仿宋"/>
          <w:b/>
          <w:color w:val="000000" w:themeColor="text1"/>
          <w:sz w:val="28"/>
          <w:szCs w:val="28"/>
          <w14:textFill>
            <w14:solidFill>
              <w14:schemeClr w14:val="tx1"/>
            </w14:solidFill>
          </w14:textFill>
        </w:rPr>
        <w:t>。</w:t>
      </w:r>
      <w:r>
        <w:rPr>
          <w:rStyle w:val="41"/>
          <w:rFonts w:ascii="仿宋" w:hAnsi="仿宋" w:eastAsia="仿宋"/>
          <w:color w:val="000000" w:themeColor="text1"/>
          <w:sz w:val="28"/>
          <w:szCs w:val="28"/>
          <w14:textFill>
            <w14:solidFill>
              <w14:schemeClr w14:val="tx1"/>
            </w14:solidFill>
          </w14:textFill>
        </w:rPr>
        <w:t>加强商务执法队伍的建设、培训及管理，准确界定商务执法的范围，加大对商贸流通企业违规经营的执法检查的力度，为抚顺县由传统服务业向现代服务业更快更好的发展打基础。</w:t>
      </w:r>
      <w:r>
        <w:rPr>
          <w:rStyle w:val="41"/>
          <w:rFonts w:hint="eastAsia" w:ascii="仿宋" w:hAnsi="仿宋" w:eastAsia="仿宋"/>
          <w:color w:val="000000" w:themeColor="text1"/>
          <w:sz w:val="28"/>
          <w:szCs w:val="28"/>
          <w14:textFill>
            <w14:solidFill>
              <w14:schemeClr w14:val="tx1"/>
            </w14:solidFill>
          </w14:textFill>
        </w:rPr>
        <w:t>按照“应进必进”原则，继续推动服务事项进驻大厅；坚持“首问负责”制度，全面推行服务承诺、首问负责、限时办结等工作制度；按照省、市“四减”（减材料、减环节、减时限、减次数）工作要求，对进驻的所有审批服务事项进行优化，持续推进事项办理“集中化”、审批事项“精简化”、审批时限“最短化”、受理审批“承诺化”、审批流程“标准化”、办事制度“人性化”、网上审批“高标化”。推进“全县通办”全覆盖，完成“全县通办”平台覆盖至全县</w:t>
      </w:r>
      <w:r>
        <w:rPr>
          <w:rStyle w:val="41"/>
          <w:rFonts w:eastAsia="仿宋"/>
          <w:color w:val="000000" w:themeColor="text1"/>
          <w:sz w:val="28"/>
          <w:szCs w:val="28"/>
          <w14:textFill>
            <w14:solidFill>
              <w14:schemeClr w14:val="tx1"/>
            </w14:solidFill>
          </w14:textFill>
        </w:rPr>
        <w:t>8个乡镇、95个行</w:t>
      </w:r>
      <w:r>
        <w:rPr>
          <w:rStyle w:val="41"/>
          <w:rFonts w:hint="eastAsia" w:ascii="仿宋" w:hAnsi="仿宋" w:eastAsia="仿宋"/>
          <w:color w:val="000000" w:themeColor="text1"/>
          <w:sz w:val="28"/>
          <w:szCs w:val="28"/>
          <w14:textFill>
            <w14:solidFill>
              <w14:schemeClr w14:val="tx1"/>
            </w14:solidFill>
          </w14:textFill>
        </w:rPr>
        <w:t>政村；整合各职能部门派驻到乡镇的分支机构职责内的事项，并逐步整合至乡镇便民服务中心。同时，在实现“全县通办”服务平台通办的基础上，继续开发、完善手</w:t>
      </w:r>
      <w:r>
        <w:rPr>
          <w:rStyle w:val="41"/>
          <w:rFonts w:eastAsia="仿宋"/>
          <w:color w:val="000000" w:themeColor="text1"/>
          <w:sz w:val="28"/>
          <w:szCs w:val="28"/>
          <w14:textFill>
            <w14:solidFill>
              <w14:schemeClr w14:val="tx1"/>
            </w14:solidFill>
          </w14:textFill>
        </w:rPr>
        <w:t>机APP</w:t>
      </w:r>
      <w:r>
        <w:rPr>
          <w:rStyle w:val="41"/>
          <w:rFonts w:hint="eastAsia" w:ascii="仿宋" w:hAnsi="仿宋" w:eastAsia="仿宋"/>
          <w:color w:val="000000" w:themeColor="text1"/>
          <w:sz w:val="28"/>
          <w:szCs w:val="28"/>
          <w14:textFill>
            <w14:solidFill>
              <w14:schemeClr w14:val="tx1"/>
            </w14:solidFill>
          </w14:textFill>
        </w:rPr>
        <w:t>“网上办理”板块，实现事项“在线提交、在线审核、在线办理”，不断提升我县政务服务智慧化水平。</w:t>
      </w:r>
    </w:p>
    <w:p>
      <w:pPr>
        <w:widowControl/>
        <w:shd w:val="clear" w:color="auto" w:fill="FFFFFF"/>
        <w:spacing w:line="360" w:lineRule="auto"/>
        <w:ind w:firstLine="562" w:firstLineChars="200"/>
        <w:textAlignment w:val="baseline"/>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——大力开展招商引资，推动重大项目落地。</w:t>
      </w:r>
      <w:bookmarkStart w:id="47" w:name="_Hlk52888882"/>
      <w:r>
        <w:rPr>
          <w:rFonts w:hint="eastAsia" w:ascii="仿宋" w:hAnsi="仿宋" w:eastAsia="仿宋"/>
          <w:bCs/>
          <w:color w:val="000000" w:themeColor="text1"/>
          <w:sz w:val="28"/>
          <w:szCs w:val="28"/>
          <w14:textFill>
            <w14:solidFill>
              <w14:schemeClr w14:val="tx1"/>
            </w14:solidFill>
          </w14:textFill>
        </w:rPr>
        <w:t>在“十四五”时期，</w:t>
      </w:r>
      <w:r>
        <w:rPr>
          <w:rFonts w:hint="eastAsia" w:ascii="仿宋" w:hAnsi="仿宋" w:eastAsia="仿宋"/>
          <w:color w:val="000000" w:themeColor="text1"/>
          <w:sz w:val="28"/>
          <w:szCs w:val="28"/>
          <w14:textFill>
            <w14:solidFill>
              <w14:schemeClr w14:val="tx1"/>
            </w14:solidFill>
          </w14:textFill>
        </w:rPr>
        <w:t>大力建立专业的招商队伍，配齐、配强招商队伍人员，确保每个招商分局每年至少完成亿元以上签约项目1个或5000万元以上签约项目3个。加大“飞地经济”工作力度，</w:t>
      </w:r>
      <w:r>
        <w:rPr>
          <w:rFonts w:eastAsia="仿宋"/>
          <w:color w:val="000000" w:themeColor="text1"/>
          <w:sz w:val="28"/>
          <w:szCs w:val="28"/>
          <w14:textFill>
            <w14:solidFill>
              <w14:schemeClr w14:val="tx1"/>
            </w14:solidFill>
          </w14:textFill>
        </w:rPr>
        <w:t>确保每个乡镇</w:t>
      </w:r>
      <w:r>
        <w:rPr>
          <w:rFonts w:hint="eastAsia" w:eastAsia="仿宋"/>
          <w:color w:val="000000" w:themeColor="text1"/>
          <w:sz w:val="28"/>
          <w:szCs w:val="28"/>
          <w14:textFill>
            <w14:solidFill>
              <w14:schemeClr w14:val="tx1"/>
            </w14:solidFill>
          </w14:textFill>
        </w:rPr>
        <w:t>每年</w:t>
      </w:r>
      <w:r>
        <w:rPr>
          <w:rFonts w:eastAsia="仿宋"/>
          <w:color w:val="000000" w:themeColor="text1"/>
          <w:sz w:val="28"/>
          <w:szCs w:val="28"/>
          <w14:textFill>
            <w14:solidFill>
              <w14:schemeClr w14:val="tx1"/>
            </w14:solidFill>
          </w14:textFill>
        </w:rPr>
        <w:t>招商引进2000万元以</w:t>
      </w:r>
      <w:r>
        <w:rPr>
          <w:rFonts w:hint="eastAsia" w:ascii="仿宋" w:hAnsi="仿宋" w:eastAsia="仿宋"/>
          <w:color w:val="000000" w:themeColor="text1"/>
          <w:sz w:val="28"/>
          <w:szCs w:val="28"/>
          <w14:textFill>
            <w14:solidFill>
              <w14:schemeClr w14:val="tx1"/>
            </w14:solidFill>
          </w14:textFill>
        </w:rPr>
        <w:t>上“飞地项目”。创新招商引资方式，鼓励以代理招商、中介招商、委托招商等方式开展招商引资，发展“以商招商”，鼓励支持园区招商。牢固树立“项目为王”理念，严格执行“项目管家”制度，落实项目包保责任，实现“签约项目早落地、落地项目早开工、开工项目早见效”。在加强高质量项目储备上狠下功夫，做深、做细、做实项目前期工作，积极培育认真筛选、论证、储备一批能够带动全局、有较强支撑和辐射作用的重大项目。</w:t>
      </w:r>
    </w:p>
    <w:bookmarkEnd w:id="47"/>
    <w:p>
      <w:pPr>
        <w:pStyle w:val="2"/>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——加快发展新基建，培育增长新动能。</w:t>
      </w:r>
      <w:r>
        <w:rPr>
          <w:rFonts w:hint="eastAsia" w:ascii="仿宋" w:hAnsi="仿宋" w:eastAsia="仿宋"/>
          <w:bCs/>
          <w:color w:val="000000" w:themeColor="text1"/>
          <w:sz w:val="28"/>
          <w:szCs w:val="28"/>
          <w14:textFill>
            <w14:solidFill>
              <w14:schemeClr w14:val="tx1"/>
            </w14:solidFill>
          </w14:textFill>
        </w:rPr>
        <w:t>“十四五”期间，配合抚顺市、沈抚新区及沈阳市等新基建建设工作，尤其是承接、引进大数据、工业互联网等项目。注重发挥新基建对传统产业升级带动作用，</w:t>
      </w:r>
      <w:r>
        <w:rPr>
          <w:rFonts w:hint="eastAsia" w:ascii="仿宋" w:hAnsi="仿宋" w:eastAsia="仿宋" w:cs="仿宋"/>
          <w:bCs/>
          <w:color w:val="000000" w:themeColor="text1"/>
          <w:kern w:val="0"/>
          <w:sz w:val="28"/>
          <w:szCs w:val="28"/>
          <w14:textFill>
            <w14:solidFill>
              <w14:schemeClr w14:val="tx1"/>
            </w14:solidFill>
          </w14:textFill>
        </w:rPr>
        <w:t>推进“</w:t>
      </w:r>
      <w:r>
        <w:rPr>
          <w:rFonts w:eastAsia="仿宋"/>
          <w:bCs/>
          <w:color w:val="000000" w:themeColor="text1"/>
          <w:kern w:val="0"/>
          <w:sz w:val="28"/>
          <w:szCs w:val="28"/>
          <w14:textFill>
            <w14:solidFill>
              <w14:schemeClr w14:val="tx1"/>
            </w14:solidFill>
          </w14:textFill>
        </w:rPr>
        <w:t>5G+农业</w:t>
      </w:r>
      <w:r>
        <w:rPr>
          <w:rFonts w:hint="eastAsia" w:ascii="仿宋" w:hAnsi="仿宋" w:eastAsia="仿宋" w:cs="仿宋"/>
          <w:bCs/>
          <w:color w:val="000000" w:themeColor="text1"/>
          <w:kern w:val="0"/>
          <w:sz w:val="28"/>
          <w:szCs w:val="28"/>
          <w14:textFill>
            <w14:solidFill>
              <w14:schemeClr w14:val="tx1"/>
            </w14:solidFill>
          </w14:textFill>
        </w:rPr>
        <w:t>”建设，为农产品流通提供更加便利的平台；加快“</w:t>
      </w:r>
      <w:r>
        <w:rPr>
          <w:rFonts w:eastAsia="仿宋"/>
          <w:bCs/>
          <w:color w:val="000000" w:themeColor="text1"/>
          <w:kern w:val="0"/>
          <w:sz w:val="28"/>
          <w:szCs w:val="28"/>
          <w14:textFill>
            <w14:solidFill>
              <w14:schemeClr w14:val="tx1"/>
            </w14:solidFill>
          </w14:textFill>
        </w:rPr>
        <w:t>5G+工业互联网</w:t>
      </w:r>
      <w:r>
        <w:rPr>
          <w:rFonts w:hint="eastAsia" w:ascii="仿宋" w:hAnsi="仿宋" w:eastAsia="仿宋" w:cs="仿宋"/>
          <w:bCs/>
          <w:color w:val="000000" w:themeColor="text1"/>
          <w:kern w:val="0"/>
          <w:sz w:val="28"/>
          <w:szCs w:val="28"/>
          <w14:textFill>
            <w14:solidFill>
              <w14:schemeClr w14:val="tx1"/>
            </w14:solidFill>
          </w14:textFill>
        </w:rPr>
        <w:t>”建设，建设大数据中心，积极帮助企业发展工业互联网项目，为工业产品由先进制造向智能制造转变创造条件；大力推进“</w:t>
      </w:r>
      <w:r>
        <w:rPr>
          <w:rFonts w:eastAsia="仿宋"/>
          <w:bCs/>
          <w:color w:val="000000" w:themeColor="text1"/>
          <w:kern w:val="0"/>
          <w:sz w:val="28"/>
          <w:szCs w:val="28"/>
          <w14:textFill>
            <w14:solidFill>
              <w14:schemeClr w14:val="tx1"/>
            </w14:solidFill>
          </w14:textFill>
        </w:rPr>
        <w:t>5G+服务业</w:t>
      </w:r>
      <w:r>
        <w:rPr>
          <w:rFonts w:hint="eastAsia" w:ascii="仿宋" w:hAnsi="仿宋" w:eastAsia="仿宋" w:cs="仿宋"/>
          <w:bCs/>
          <w:color w:val="000000" w:themeColor="text1"/>
          <w:kern w:val="0"/>
          <w:sz w:val="28"/>
          <w:szCs w:val="28"/>
          <w14:textFill>
            <w14:solidFill>
              <w14:schemeClr w14:val="tx1"/>
            </w14:solidFill>
          </w14:textFill>
        </w:rPr>
        <w:t>”建设，大力发展电子商务，积极打造跨境电商全产业链。</w:t>
      </w:r>
    </w:p>
    <w:p>
      <w:pPr>
        <w:pStyle w:val="4"/>
        <w:ind w:firstLine="0" w:firstLineChars="0"/>
        <w:jc w:val="center"/>
        <w:rPr>
          <w:rFonts w:ascii="仿宋" w:hAnsi="仿宋" w:eastAsia="仿宋" w:cs="仿宋"/>
          <w:color w:val="000000" w:themeColor="text1"/>
          <w:szCs w:val="28"/>
          <w14:textFill>
            <w14:solidFill>
              <w14:schemeClr w14:val="tx1"/>
            </w14:solidFill>
          </w14:textFill>
        </w:rPr>
      </w:pPr>
      <w:bookmarkStart w:id="48" w:name="_Toc53698371"/>
      <w:r>
        <w:rPr>
          <w:rFonts w:hint="eastAsia"/>
          <w:color w:val="000000" w:themeColor="text1"/>
          <w14:textFill>
            <w14:solidFill>
              <w14:schemeClr w14:val="tx1"/>
            </w14:solidFill>
          </w14:textFill>
        </w:rPr>
        <w:t>第二节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坚持创新驱动发展：培育新动能，完善创新体系</w:t>
      </w:r>
      <w:bookmarkEnd w:id="48"/>
    </w:p>
    <w:p>
      <w:pPr>
        <w:spacing w:line="360" w:lineRule="auto"/>
        <w:ind w:firstLine="645"/>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适应形势，顺应潮流，加快基层科技创新的发展。努力克服整体经济环境带来的不利影响，坚持“加大项目争取，服务县域经济，创新工作途径，培育科技亮点，驱动经济发展”的工作目标，形成助推科技型企业发展的新举措，不断提升经济社会发展的质量和水平。“十四五”期间，抚顺县科技创新工作要借势借力，多方整合科技资源，充分发挥有利优势，一如既往地抓好科技事业，推动科技创新发展。</w:t>
      </w:r>
    </w:p>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——深入推进校地合作，完善产学研用平台。</w:t>
      </w:r>
      <w:r>
        <w:rPr>
          <w:rFonts w:hint="eastAsia" w:ascii="仿宋" w:hAnsi="仿宋" w:eastAsia="仿宋"/>
          <w:color w:val="000000" w:themeColor="text1"/>
          <w:sz w:val="28"/>
          <w:szCs w:val="36"/>
          <w14:textFill>
            <w14:solidFill>
              <w14:schemeClr w14:val="tx1"/>
            </w14:solidFill>
          </w14:textFill>
        </w:rPr>
        <w:t>我县与</w:t>
      </w:r>
      <w:bookmarkStart w:id="49" w:name="_Hlk53611341"/>
      <w:r>
        <w:rPr>
          <w:rFonts w:hint="eastAsia" w:ascii="仿宋" w:hAnsi="仿宋" w:eastAsia="仿宋"/>
          <w:color w:val="000000" w:themeColor="text1"/>
          <w:sz w:val="28"/>
          <w:szCs w:val="36"/>
          <w14:textFill>
            <w14:solidFill>
              <w14:schemeClr w14:val="tx1"/>
            </w14:solidFill>
          </w14:textFill>
        </w:rPr>
        <w:t>东北大学、沈阳工业大学、沈阳建筑大学等省内知名高校</w:t>
      </w:r>
      <w:r>
        <w:rPr>
          <w:rFonts w:hint="eastAsia" w:ascii="仿宋" w:hAnsi="仿宋" w:eastAsia="仿宋"/>
          <w:b/>
          <w:color w:val="000000" w:themeColor="text1"/>
          <w:sz w:val="28"/>
          <w:szCs w:val="28"/>
          <w14:textFill>
            <w14:solidFill>
              <w14:schemeClr w14:val="tx1"/>
            </w14:solidFill>
          </w14:textFill>
        </w:rPr>
        <w:t>在产业发展、科技创新方面</w:t>
      </w:r>
      <w:r>
        <w:rPr>
          <w:rFonts w:hint="eastAsia" w:ascii="仿宋" w:hAnsi="仿宋" w:eastAsia="仿宋"/>
          <w:color w:val="000000" w:themeColor="text1"/>
          <w:sz w:val="28"/>
          <w:szCs w:val="36"/>
          <w14:textFill>
            <w14:solidFill>
              <w14:schemeClr w14:val="tx1"/>
            </w14:solidFill>
          </w14:textFill>
        </w:rPr>
        <w:t>建立了校地合作关系，“十四五”时期，进一步推进合作高校在本地建立教学、科研实践基地、中试基地、成果转化基地等</w:t>
      </w:r>
      <w:bookmarkEnd w:id="49"/>
      <w:r>
        <w:rPr>
          <w:rFonts w:hint="eastAsia" w:ascii="仿宋" w:hAnsi="仿宋" w:eastAsia="仿宋"/>
          <w:color w:val="000000" w:themeColor="text1"/>
          <w:sz w:val="28"/>
          <w:szCs w:val="36"/>
          <w14:textFill>
            <w14:solidFill>
              <w14:schemeClr w14:val="tx1"/>
            </w14:solidFill>
          </w14:textFill>
        </w:rPr>
        <w:t>，力争在建成省市特别是国家级实验室方面取得一定突破。</w:t>
      </w:r>
      <w:r>
        <w:rPr>
          <w:rFonts w:hint="eastAsia" w:ascii="仿宋" w:hAnsi="仿宋" w:eastAsia="仿宋"/>
          <w:bCs/>
          <w:color w:val="000000" w:themeColor="text1"/>
          <w:sz w:val="28"/>
          <w:szCs w:val="28"/>
          <w14:textFill>
            <w14:solidFill>
              <w14:schemeClr w14:val="tx1"/>
            </w14:solidFill>
          </w14:textFill>
        </w:rPr>
        <w:t>依托</w:t>
      </w:r>
      <w:r>
        <w:rPr>
          <w:rFonts w:hint="eastAsia" w:ascii="仿宋" w:hAnsi="仿宋" w:eastAsia="仿宋"/>
          <w:color w:val="000000" w:themeColor="text1"/>
          <w:sz w:val="28"/>
          <w:szCs w:val="36"/>
          <w14:textFill>
            <w14:solidFill>
              <w14:schemeClr w14:val="tx1"/>
            </w14:solidFill>
          </w14:textFill>
        </w:rPr>
        <w:t>科技服务平台和产学研用平台，推进科技成果转化与应用，提高产品附加值。积极搭建科技培训服务平台，依托大专院校、科研院所，联合龙头企业和合作社开展各类专业技术培训，提高农民技术水平和产业技能。积极调动各类资源要素，针对抚顺县特色产业发展，当好参谋，搭好平台，打牢基础，寻求突破，激发活力。</w:t>
      </w:r>
    </w:p>
    <w:p>
      <w:pPr>
        <w:spacing w:line="360" w:lineRule="auto"/>
        <w:ind w:firstLine="645"/>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——加大研发投入力度，推动企业转型升级。</w:t>
      </w:r>
      <w:r>
        <w:rPr>
          <w:rFonts w:hint="eastAsia" w:ascii="仿宋" w:hAnsi="仿宋" w:eastAsia="仿宋"/>
          <w:bCs/>
          <w:color w:val="000000" w:themeColor="text1"/>
          <w:sz w:val="28"/>
          <w:szCs w:val="28"/>
          <w14:textFill>
            <w14:solidFill>
              <w14:schemeClr w14:val="tx1"/>
            </w14:solidFill>
          </w14:textFill>
        </w:rPr>
        <w:t>形成以政府为引导，企业投入为主体，金融、社会投入和风险投资为补充的多元化科技资金投入体系；鼓励银行更多地向科技型企业放贷，增强科技企业发展后劲；设立科技创新发展基金，重点支持科技含量高、发展前景好、影响带动强的支柱产业和特色企业。引导企业注重培育现代式管理，要从长远发展上引导企业引进新技术、新设备、新工艺、新流程，促进产业链、创新链、资金链对接融合，加快科技成果转化，促进企业转型升级，推动产业往更高层次发展。</w:t>
      </w:r>
    </w:p>
    <w:p>
      <w:pPr>
        <w:spacing w:line="360" w:lineRule="auto"/>
        <w:ind w:firstLine="645"/>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——鼓励大众创业，推进万众创新。</w:t>
      </w:r>
      <w:r>
        <w:rPr>
          <w:rFonts w:hint="eastAsia" w:ascii="仿宋" w:hAnsi="仿宋" w:eastAsia="仿宋"/>
          <w:bCs/>
          <w:color w:val="000000" w:themeColor="text1"/>
          <w:sz w:val="28"/>
          <w:szCs w:val="28"/>
          <w14:textFill>
            <w14:solidFill>
              <w14:schemeClr w14:val="tx1"/>
            </w14:solidFill>
          </w14:textFill>
        </w:rPr>
        <w:t>坚持改革推动，充分发挥市场在资源配置中的决定性作用，加大简政放权力度，放宽政策、放开市场、放活主体，形成有利于创业创新的良好氛围；不断完善体制机制、健全普惠性政策措施，加强统筹协调，构建有利于大众创业、万众创新的政策环境、制度环境和公共服务体系，以创业带动就业、创新促进发展。要结合我县实际，整合职业教育、“阳光工程”等各级、各类培训资源，围绕培育主导产业、产业集群（集聚区），增加农民收入，加大对农民实用技术和技能培训力度。</w:t>
      </w:r>
      <w:r>
        <w:rPr>
          <w:rFonts w:ascii="仿宋" w:hAnsi="仿宋" w:eastAsia="仿宋"/>
          <w:bCs/>
          <w:color w:val="000000" w:themeColor="text1"/>
          <w:sz w:val="28"/>
          <w:szCs w:val="28"/>
          <w14:textFill>
            <w14:solidFill>
              <w14:schemeClr w14:val="tx1"/>
            </w14:solidFill>
          </w14:textFill>
        </w:rPr>
        <w:t xml:space="preserve"> </w:t>
      </w:r>
    </w:p>
    <w:p>
      <w:pPr>
        <w:spacing w:line="360" w:lineRule="auto"/>
        <w:ind w:firstLine="645"/>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——优化科技创新政策，强化科技人才培育。</w:t>
      </w:r>
      <w:r>
        <w:rPr>
          <w:rFonts w:hint="eastAsia" w:ascii="仿宋" w:hAnsi="仿宋" w:eastAsia="仿宋"/>
          <w:bCs/>
          <w:color w:val="000000" w:themeColor="text1"/>
          <w:sz w:val="28"/>
          <w:szCs w:val="28"/>
          <w14:textFill>
            <w14:solidFill>
              <w14:schemeClr w14:val="tx1"/>
            </w14:solidFill>
          </w14:textFill>
        </w:rPr>
        <w:t>对标学习福田区等先进地区经验，在原有政策基础上，研究制定更加科学、合理、力度大、针对性强的科技创新政策，瞄准抚顺县科技创新发展薄弱环节，坚持创新驱动发展战略，用好政策“组合拳”。全面实施科技人才引进工程，建立健全“专家工作站”，抓好创新创业孵化基地等人才平台建设，为企业发展、产业升级提供强大支撑。做好“抚顺县送农民上大学工程”，加大农民技术员培养工程宣传力度。从全县各乡镇、科技型企业、优秀合作社、示范基地的专业技术人员中选拔一批科技工作者，吸纳为县级科技特派员，按照市场需求和农民实际需要，形成一批能够常驻农村基层的科技人才队伍。</w:t>
      </w:r>
    </w:p>
    <w:p>
      <w:pPr>
        <w:pStyle w:val="4"/>
        <w:spacing w:line="360" w:lineRule="auto"/>
        <w:ind w:firstLine="0" w:firstLineChars="0"/>
        <w:jc w:val="center"/>
        <w:rPr>
          <w:color w:val="000000" w:themeColor="text1"/>
          <w14:textFill>
            <w14:solidFill>
              <w14:schemeClr w14:val="tx1"/>
            </w14:solidFill>
          </w14:textFill>
        </w:rPr>
      </w:pPr>
      <w:bookmarkStart w:id="50" w:name="_Toc53698372"/>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节</w:t>
      </w:r>
      <w:r>
        <w:rPr>
          <w:rFonts w:hint="eastAsia"/>
          <w:color w:val="000000" w:themeColor="text1"/>
          <w14:textFill>
            <w14:solidFill>
              <w14:schemeClr w14:val="tx1"/>
            </w14:solidFill>
          </w14:textFill>
        </w:rPr>
        <w:t xml:space="preserve">  构建现代产业体系：谋划产业定位，实现特色发展</w:t>
      </w:r>
      <w:bookmarkEnd w:id="50"/>
      <w:r>
        <w:rPr>
          <w:color w:val="000000" w:themeColor="text1"/>
          <w14:textFill>
            <w14:solidFill>
              <w14:schemeClr w14:val="tx1"/>
            </w14:solidFill>
          </w14:textFill>
        </w:rPr>
        <w:t xml:space="preserve"> </w:t>
      </w:r>
    </w:p>
    <w:p>
      <w:pPr>
        <w:tabs>
          <w:tab w:val="left" w:pos="3240"/>
        </w:tabs>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推动抚顺县产业结构不断优化，补齐现代农业发展短板，促进农业更强、农民更富、农村更美，率先实现农业农村现代化。聚焦培育新动能，推动工业发展实现高端化、智能化、特色化和绿色化。大力发展全域旅游、全季旅游、全要素旅游，在“住、购、娱”方面加大力度。结合抚顺县各乡镇资源禀赋、产业基础和生态环保要求，以抚顺县“两谷一带”发展战略为指导，推动战略性新兴产业发展，以园区建设带动抚顺县工业经济转型升级和高质量发展，加快一二三产业融合，构建现代产业体系。</w:t>
      </w:r>
    </w:p>
    <w:p>
      <w:pPr>
        <w:pStyle w:val="2"/>
        <w:ind w:firstLine="561"/>
        <w:rPr>
          <w:rFonts w:ascii="仿宋" w:hAnsi="仿宋" w:eastAsia="仿宋"/>
          <w:bCs/>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——合理利用资源禀赋，完善农业产业布局</w:t>
      </w:r>
      <w:r>
        <w:rPr>
          <w:rFonts w:hint="eastAsia" w:ascii="仿宋" w:hAnsi="仿宋" w:eastAsia="仿宋"/>
          <w:b/>
          <w:color w:val="000000" w:themeColor="text1"/>
          <w:sz w:val="28"/>
          <w:szCs w:val="36"/>
          <w14:textFill>
            <w14:solidFill>
              <w14:schemeClr w14:val="tx1"/>
            </w14:solidFill>
          </w14:textFill>
        </w:rPr>
        <w:t>。</w:t>
      </w:r>
      <w:r>
        <w:rPr>
          <w:rFonts w:hint="eastAsia" w:ascii="仿宋" w:hAnsi="仿宋" w:eastAsia="仿宋"/>
          <w:bCs/>
          <w:color w:val="000000" w:themeColor="text1"/>
          <w:sz w:val="28"/>
          <w:szCs w:val="36"/>
          <w14:textFill>
            <w14:solidFill>
              <w14:schemeClr w14:val="tx1"/>
            </w14:solidFill>
          </w14:textFill>
        </w:rPr>
        <w:t>结合我县农业产业地理优势和资源禀赋情况，打造“一带、一园、两区、八镇”建设格局：打造抚顺县生态休闲、观光农业百里采摘带，以抚顺县境内“通武线”“抚金线”“台上线”主要交通干线为主线，以沿线乡镇特色农业产业基地和旅游文化自然景区为依托，重点发展休闲农业采摘园、生态农业观光园、科普文花体验园、养生康体园、乡村民宿庄园、乐活农场等；打造抚顺县省级现代农业产业园，以食用菌、柞蚕为主导产业，以救兵、峡河、上马、后安、马圈子、汤图等乡镇为主体，积极发展“龙头企业+基地”模式，全力打造集食用菌研发、生产、加工、销售于一体的食用菌生产、加工集聚区，建设省级现代农业产业园；打造抚顺县生态有机农业示范区和抚顺县农村一二三产业融合发展示范区。抚顺县生态有机农业示范区以上马镇和汤图镇为核心，是大伙房水源地环水保护区，注重水库水质保护与农业生产转型升级相结合，开展环水有机农业种植，重点发展有机水稻、杂粮、油料、花卉、中药材和生态林果业，开展滨水观光旅游和休闲农业体验；抚顺县农村一二三产业融合发展示范区以石文镇和海浪乡为核心，重点发展设施果蔬、经济林果、高效经济作物，做强农产品加工业和贮藏、物流、商贸等服务业，建设“生产+加工+科技”的现代农业产业园。围绕有基础、有特色、有潜力的产业集聚区，建设集农业、文化、旅游三位一体，生产、生活、生态同步改善，一二三产业深度融合的八大特色小镇，分别为石文镇苏子生态谷和梨花小镇，后安黑木耳小镇，救兵镇木业小镇，马圈子乡文旅小镇，汤图乡关东满族风情小镇，峡河乡柞蚕丝绸小镇，海浪乡大果榛子特色小镇，上马镇生态有机农业小镇。</w:t>
      </w:r>
    </w:p>
    <w:p>
      <w:pPr>
        <w:pStyle w:val="2"/>
        <w:ind w:firstLine="561"/>
        <w:rPr>
          <w:rFonts w:ascii="仿宋" w:hAnsi="仿宋" w:eastAsia="仿宋"/>
          <w:bCs/>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——补齐农业产业短板，加快</w:t>
      </w:r>
      <w:r>
        <w:rPr>
          <w:rFonts w:hint="eastAsia" w:ascii="仿宋" w:hAnsi="仿宋" w:eastAsia="仿宋"/>
          <w:b/>
          <w:color w:val="000000" w:themeColor="text1"/>
          <w:sz w:val="28"/>
          <w:szCs w:val="36"/>
          <w14:textFill>
            <w14:solidFill>
              <w14:schemeClr w14:val="tx1"/>
            </w14:solidFill>
          </w14:textFill>
        </w:rPr>
        <w:t>现代农业建设。</w:t>
      </w:r>
      <w:r>
        <w:rPr>
          <w:rFonts w:hint="eastAsia" w:ascii="仿宋" w:hAnsi="仿宋" w:eastAsia="仿宋"/>
          <w:bCs/>
          <w:color w:val="000000" w:themeColor="text1"/>
          <w:sz w:val="28"/>
          <w:szCs w:val="36"/>
          <w14:textFill>
            <w14:solidFill>
              <w14:schemeClr w14:val="tx1"/>
            </w14:solidFill>
          </w14:textFill>
        </w:rPr>
        <w:t>“十四五”期间，抚顺县农业产业现代化体系建设的重点任务包括：（1）构建农业全产业链，大力发展农产品加工业、发展农村电子商务、发展农村新型服务业。（2）推进农村产业融合发展，壮大农业产业化龙头企业、培育农业产业化联合体、推进产业集聚发展。（3）发展全域乡村休闲旅游，完善城市周边和自然风景区周边乡村休闲旅游区、打造乡村精品工程。（4）推进农业绿色高质量发展，推行绿色生产方式、完善农业标准体系建设、健全农产品质量安全技术体系。（5）推进农村创新创业，培育创业主体、搭建创业平台、优化创业环境、培育乡村企业家队伍。（6）加强农业基础建设，提升农业机械化水平、提升农村信息化水平。（7）增强农业科技支撑，推动农业科技创新、加强农业技术推广应用、发挥科技示范基地带动作用。（8）深化农业农村改革，构建新型农业经营体系，创新土地经营模式、推进农村集体产权制度改革、完善联农带农机制。</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专栏3</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时期农业建设重点项目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w:t>
            </w:r>
            <w:r>
              <w:rPr>
                <w:rFonts w:eastAsia="仿宋"/>
                <w:bCs/>
                <w:color w:val="000000" w:themeColor="text1"/>
                <w:szCs w:val="21"/>
                <w14:textFill>
                  <w14:solidFill>
                    <w14:schemeClr w14:val="tx1"/>
                  </w14:solidFill>
                </w14:textFill>
              </w:rPr>
              <w:t xml:space="preserve"> 北斗生态农业研发示范产业园项目  总投资0.5亿元。</w:t>
            </w:r>
          </w:p>
          <w:p>
            <w:pPr>
              <w:pStyle w:val="2"/>
              <w:ind w:firstLine="42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 抚顺（石文）现代农业园区  总投资0.2亿元</w:t>
            </w:r>
          </w:p>
          <w:p>
            <w:pPr>
              <w:pStyle w:val="2"/>
              <w:ind w:firstLine="42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 年产十万吨</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微生物菌剂</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示范项目  总投资2.7亿元</w:t>
            </w:r>
          </w:p>
          <w:p>
            <w:pPr>
              <w:pStyle w:val="2"/>
              <w:ind w:firstLine="42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 食用菌种植及深加工项目  总投资0.23亿元</w:t>
            </w:r>
          </w:p>
          <w:p>
            <w:pPr>
              <w:pStyle w:val="2"/>
              <w:ind w:firstLine="42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 辽宁大健康田园综合体产业园  总投资10亿元</w:t>
            </w:r>
          </w:p>
        </w:tc>
      </w:tr>
    </w:tbl>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bCs/>
                <w:color w:val="000000" w:themeColor="text1"/>
                <w:szCs w:val="21"/>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续专栏3</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时期农业建设重点项目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pPr>
              <w:pStyle w:val="2"/>
              <w:ind w:firstLine="42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 上马镇桑椹种植项目  总投资0.15亿元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color w:val="000000" w:themeColor="text1"/>
                <w14:textFill>
                  <w14:solidFill>
                    <w14:schemeClr w14:val="tx1"/>
                  </w14:solidFill>
                </w14:textFill>
              </w:rPr>
              <w:t>7.</w:t>
            </w:r>
            <w:r>
              <w:rPr>
                <w:rFonts w:hint="eastAsia"/>
              </w:rPr>
              <w:t xml:space="preserve"> </w:t>
            </w:r>
            <w:r>
              <w:rPr>
                <w:rFonts w:hint="eastAsia" w:eastAsia="仿宋"/>
                <w:color w:val="000000" w:themeColor="text1"/>
                <w14:textFill>
                  <w14:solidFill>
                    <w14:schemeClr w14:val="tx1"/>
                  </w14:solidFill>
                </w14:textFill>
              </w:rPr>
              <w:t>“百年山参根”项目  总投资0.5亿元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8</w:t>
            </w:r>
            <w:r>
              <w:rPr>
                <w:rFonts w:eastAsia="仿宋"/>
                <w:bCs/>
                <w:color w:val="000000" w:themeColor="text1"/>
                <w:szCs w:val="21"/>
                <w14:textFill>
                  <w14:solidFill>
                    <w14:schemeClr w14:val="tx1"/>
                  </w14:solidFill>
                </w14:textFill>
              </w:rPr>
              <w:t>. 大豆深加工项目  总投资5.5亿元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9</w:t>
            </w:r>
            <w:r>
              <w:rPr>
                <w:rFonts w:eastAsia="仿宋"/>
                <w:bCs/>
                <w:color w:val="000000" w:themeColor="text1"/>
                <w:szCs w:val="21"/>
                <w14:textFill>
                  <w14:solidFill>
                    <w14:schemeClr w14:val="tx1"/>
                  </w14:solidFill>
                </w14:textFill>
              </w:rPr>
              <w:t>. 秸杆菌棒综合利用产业化示范项目  总投资1.875亿元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10</w:t>
            </w:r>
            <w:r>
              <w:rPr>
                <w:rFonts w:eastAsia="仿宋"/>
                <w:bCs/>
                <w:color w:val="000000" w:themeColor="text1"/>
                <w:szCs w:val="21"/>
                <w14:textFill>
                  <w14:solidFill>
                    <w14:schemeClr w14:val="tx1"/>
                  </w14:solidFill>
                </w14:textFill>
              </w:rPr>
              <w:t>. 抚顺县中药材产业基地建设  总投资0.95亿元</w:t>
            </w:r>
          </w:p>
          <w:p>
            <w:pPr>
              <w:spacing w:line="360" w:lineRule="auto"/>
              <w:ind w:firstLine="420" w:firstLineChars="200"/>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w:t>
            </w:r>
            <w:r>
              <w:rPr>
                <w:rFonts w:hint="eastAsia" w:eastAsia="仿宋"/>
                <w:bCs/>
                <w:color w:val="000000" w:themeColor="text1"/>
                <w:szCs w:val="21"/>
                <w14:textFill>
                  <w14:solidFill>
                    <w14:schemeClr w14:val="tx1"/>
                  </w14:solidFill>
                </w14:textFill>
              </w:rPr>
              <w:t>1</w:t>
            </w:r>
            <w:r>
              <w:rPr>
                <w:rFonts w:eastAsia="仿宋"/>
                <w:bCs/>
                <w:color w:val="000000" w:themeColor="text1"/>
                <w:szCs w:val="21"/>
                <w14:textFill>
                  <w14:solidFill>
                    <w14:schemeClr w14:val="tx1"/>
                  </w14:solidFill>
                </w14:textFill>
              </w:rPr>
              <w:t>. 抚顺县三产融合示范园区建设  总投资0.5亿元</w:t>
            </w:r>
          </w:p>
          <w:p>
            <w:pPr>
              <w:spacing w:line="360" w:lineRule="auto"/>
              <w:ind w:firstLine="420" w:firstLineChars="200"/>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w:t>
            </w:r>
            <w:r>
              <w:rPr>
                <w:rFonts w:hint="eastAsia" w:eastAsia="仿宋"/>
                <w:bCs/>
                <w:color w:val="000000" w:themeColor="text1"/>
                <w:szCs w:val="21"/>
                <w14:textFill>
                  <w14:solidFill>
                    <w14:schemeClr w14:val="tx1"/>
                  </w14:solidFill>
                </w14:textFill>
              </w:rPr>
              <w:t>2</w:t>
            </w:r>
            <w:r>
              <w:rPr>
                <w:rFonts w:eastAsia="仿宋"/>
                <w:bCs/>
                <w:color w:val="000000" w:themeColor="text1"/>
                <w:szCs w:val="21"/>
                <w14:textFill>
                  <w14:solidFill>
                    <w14:schemeClr w14:val="tx1"/>
                  </w14:solidFill>
                </w14:textFill>
              </w:rPr>
              <w:t>. 抚顺县食用菌集聚区建设  总投资3亿元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13.</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抚顺县汤图乡锦禾食用菌生产基地三期工程项目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总投资0.1亿元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14.</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抚顺中顺合鑫生物科技有限公司农业生态园项目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总投资0.65亿元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15.</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辽宁领先农业现代农业科技园区项目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总投资1.2亿元</w:t>
            </w:r>
          </w:p>
        </w:tc>
      </w:tr>
    </w:tbl>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——加快补链延链强链，推动传统工业转型。</w:t>
      </w:r>
      <w:r>
        <w:rPr>
          <w:rFonts w:hint="eastAsia" w:ascii="仿宋" w:hAnsi="仿宋" w:eastAsia="仿宋"/>
          <w:color w:val="000000" w:themeColor="text1"/>
          <w:sz w:val="28"/>
          <w:szCs w:val="36"/>
          <w14:textFill>
            <w14:solidFill>
              <w14:schemeClr w14:val="tx1"/>
            </w14:solidFill>
          </w14:textFill>
        </w:rPr>
        <w:t>“十四五”期间，构建“两支撑、两突破、一引领”的总体产业格局：坚持以矿业和木业两大支柱产业为支撑，以加快发展新兴产业和生产性服务业为突破，以加强科技创新、技改升级为引领。面对我县矿业“一业独大”的实际发展现状，在巩固扩大矿业发展优势的同时，注重接续产业的储备与培育，着力推进非矿产业发展，不断加大对非矿企业的服务及扶持力度，加大对效益好、品质优的企业如毛公铁矿、博翔环保等企业的服务力度，努力帮助企业开拓市场，增加销售收入。进一步着力提升高新技术产业比例，积极引导先进装备制造业、应急产业、再生资源产业、信息经济产业等新兴产业落地发展；促进现代服务业比重大幅度提高，重点推进电子商务业、现代物流业和商贸流通业转型升级，形成以生态旅游、商贸物流为核心的现代服务业体系。加快产业转型升级，通过补链延链强链，推动产业链现代化水平提升。着力建立规模企业升级的梯队，提升和壮大规模工业数量和实力。加快淘汰落后产能，建立企业分类综合评价制度，实施资源、能源要素差别化价格政策，倒逼传统产业加快转型升级。按照产业结构调整目录和环保、能耗、安全等强制性标准，严格市场准入条件，防止新增落后产能。对于我县矿业转型发展而言，一方面，延伸矿业产业链条，进一步扩大矿业产业规模。加大勘测力度，并基于我县铁矿低磷低硫易采选特点，转向特型钢铁发展；另一方面，向绿色生产转型，打造绿色矿山，提升铁精粉品位，提升铁精粉附加值。促进资源产业型矿业向精深加工产业型矿业发展，推进矿产资源全面节约和高效利用。重点支持罕王毛公铁矿推进超高品位铁精粉研发，延长铁精粉生产链条，提升产品附加值；推进智慧矿山建设，推动企业由生产制造型向生产服务型转变。对于我县木业转型发展而言，发展木制品全产业链，完善产品服务配套。以扩大内需为引领，发展农村基建为抓手，以市场为导向，增强内循环发展。整合现有的优质资源，进行深加工和精细加工；增研发、创意环节，丰富产品类型和技术更新；改变过去木制品产品售后服务问题，以品质树立品牌，以服务赢得信誉。重点围绕救兵木业产业园标准化厂房建设项目，逐步引进高科技含量、高附加值木制品加工，以及木工机械制造、包装制品生产、货柜运输等相关产业项目，形成从原料加工到终端产品销售的完整产业链。加快木业标准化厂房建设，推进集群产业结构调整，由地板、刨光板等初级产品向木门、高端橱柜及其它家具等高端产品和智能家居多元化发展，拉动木业产业提质升级增效，将救兵木业小镇建设成为北方木制品翘楚。对于环保滤布产业转型发展而言，进一步布局滤布产业上下游，逐步完善产业配套体系、推进产业集群式发展，形成共生共赢的产业生态系统。同时，进一步加强产品品牌建设，努力打造“环保滤布之乡”。</w:t>
      </w:r>
    </w:p>
    <w:p>
      <w:pPr>
        <w:pStyle w:val="2"/>
        <w:ind w:firstLine="561"/>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——加强信息技术应用，全面推动两化融合。</w:t>
      </w:r>
      <w:r>
        <w:rPr>
          <w:rFonts w:hint="eastAsia" w:ascii="仿宋" w:hAnsi="仿宋" w:eastAsia="仿宋"/>
          <w:bCs/>
          <w:color w:val="000000" w:themeColor="text1"/>
          <w:sz w:val="28"/>
          <w:szCs w:val="28"/>
          <w14:textFill>
            <w14:solidFill>
              <w14:schemeClr w14:val="tx1"/>
            </w14:solidFill>
          </w14:textFill>
        </w:rPr>
        <w:t>积极推动我县信息服务企业与传统行业企业的交流对接，推动移动互联网、物联网、云计算、5G和人工智能等技术向各行业全面融合渗透，尤其是重点深化信息技术与矿业、木业、装备制造、电子商务、新材料等产业的应用，深入推进信息技术与实体经济融合发展，以现代信息技术为支撑，加强大数据、云计算、区块链等先进技术对工业企业的带动与支撑作用。鼓励符合条件的企业发展制造业生产自动化、车间数字化、远程控制，推进智能化、数字化技术在企业深度应用，重点推进毛公</w:t>
      </w:r>
      <w:r>
        <w:rPr>
          <w:rFonts w:eastAsia="仿宋"/>
          <w:bCs/>
          <w:color w:val="000000" w:themeColor="text1"/>
          <w:sz w:val="28"/>
          <w:szCs w:val="28"/>
          <w14:textFill>
            <w14:solidFill>
              <w14:schemeClr w14:val="tx1"/>
            </w14:solidFill>
          </w14:textFill>
        </w:rPr>
        <w:t>铁矿5G智慧矿山建设。实施工业企业上云，在重点行业选择一批应用企</w:t>
      </w:r>
      <w:r>
        <w:rPr>
          <w:rFonts w:hint="eastAsia" w:ascii="仿宋" w:hAnsi="仿宋" w:eastAsia="仿宋"/>
          <w:bCs/>
          <w:color w:val="000000" w:themeColor="text1"/>
          <w:sz w:val="28"/>
          <w:szCs w:val="28"/>
          <w14:textFill>
            <w14:solidFill>
              <w14:schemeClr w14:val="tx1"/>
            </w14:solidFill>
          </w14:textFill>
        </w:rPr>
        <w:t>业开展试点，由云平台服务商帮助试点企业实施“企业上云”改造。同时，学习省内外先进经验，出台支持数字经济发展的相关政策，加大对工业互联网、人工智能、大数据基地等新基建投资，积极推动我县与行业龙头企业合作布局建设“新基建”基础设施，鼓励政府和社会资本合作，推进承接、转移沈阳、沈抚新区等地区的“新基建”项目。重点协调推进</w:t>
      </w:r>
      <w:r>
        <w:rPr>
          <w:rFonts w:eastAsia="仿宋"/>
          <w:bCs/>
          <w:color w:val="000000" w:themeColor="text1"/>
          <w:sz w:val="28"/>
          <w:szCs w:val="28"/>
          <w14:textFill>
            <w14:solidFill>
              <w14:schemeClr w14:val="tx1"/>
            </w14:solidFill>
          </w14:textFill>
        </w:rPr>
        <w:t>5G基站建设，做到提早布局、尽早覆盖，力争2025年全面建设部署足量的5G</w:t>
      </w:r>
      <w:r>
        <w:rPr>
          <w:rFonts w:hint="eastAsia" w:ascii="仿宋" w:hAnsi="仿宋" w:eastAsia="仿宋"/>
          <w:bCs/>
          <w:color w:val="000000" w:themeColor="text1"/>
          <w:sz w:val="28"/>
          <w:szCs w:val="28"/>
          <w14:textFill>
            <w14:solidFill>
              <w14:schemeClr w14:val="tx1"/>
            </w14:solidFill>
          </w14:textFill>
        </w:rPr>
        <w:t>基站。着力提升我县信息化水平，大力发展农村电商，加快推进实体零售企业线上线下融合发展。引导中小微企业借助第三方电子商务平台，开展在线采购、产品体验、销售等生产经营活动。打造农产品流通体系的示范基地，将抚顺县的地方特色产品运用电商的渠道推向全国。</w:t>
      </w:r>
    </w:p>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——因地制宜突出特色，合理发展新兴产业</w:t>
      </w:r>
      <w:r>
        <w:rPr>
          <w:rFonts w:hint="eastAsia" w:ascii="仿宋" w:hAnsi="仿宋" w:eastAsia="仿宋"/>
          <w:b/>
          <w:color w:val="000000" w:themeColor="text1"/>
          <w:sz w:val="28"/>
          <w:szCs w:val="36"/>
          <w14:textFill>
            <w14:solidFill>
              <w14:schemeClr w14:val="tx1"/>
            </w14:solidFill>
          </w14:textFill>
        </w:rPr>
        <w:t>。</w:t>
      </w:r>
      <w:bookmarkStart w:id="51" w:name="_Hlk52885148"/>
      <w:r>
        <w:rPr>
          <w:rFonts w:hint="eastAsia" w:ascii="仿宋" w:hAnsi="仿宋" w:eastAsia="仿宋"/>
          <w:color w:val="000000" w:themeColor="text1"/>
          <w:sz w:val="28"/>
          <w:szCs w:val="36"/>
          <w14:textFill>
            <w14:solidFill>
              <w14:schemeClr w14:val="tx1"/>
            </w14:solidFill>
          </w14:textFill>
        </w:rPr>
        <w:t>“十四五”期间，抓住沈抚新区作为国家级高新区，以及作为第二批获批国家应急产业示范基地（专业类）等机会窗口，着力引进和培育低碳、循环和无污染，高附加值项目，推动先进装备制造业、新兴产业落地发展。扶持新兴产业加快发展，培育壮大“新字号”，积极引进新一代信息技术产业、高端装备制造产业、新材料产业、新能源汽车产业、新能源产业、节能环保产业、数字创意产业等及相关配套产业，壮大产业园和产业集群规模。未来形成由高端装备制造业、循环经济产业和新材料产业为主导的新兴工业产业体系。“十四五”时期，我县引导落地的新兴产业具体包括：</w:t>
      </w:r>
    </w:p>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1）电机产业。大力发展先进电机产业，发展重点包括智能电器电机制造业、永磁电机产业、智能电机等。充分利用省内优势高校、科研院所在相关领域的基础研究优势，重点推进与沈阳工业大学的合作研发。将产业园建成与航空装备、船舶、新能源汽车、重大成套装备、高档数控机床、机器人及智能装备、先进轨道交通等先进装备制造业高度关联的产业。</w:t>
      </w:r>
    </w:p>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2）新材料产业。增加新材料产业附加值，合理发展金属矿工业，重点开拓绿色新型材料产品领域。围绕环保、节能、节地，提高产品质量，提高效益，逐步淘汰落后产能。重点依托毛公铁矿的资源优势，以及东北大学的研发支持，大力发展以超纯铁为基础的新材料产业，并逐步推进向特种不锈钢等冶金新材料延伸发展。利用毗邻抚顺大宗固体废弃物综合利用基地的区位优势，以及依托环保滤布产业发展基础，围绕大宗固体废弃物综合利用，发展建筑新材料和环保新材料（工业滤布等）。</w:t>
      </w:r>
    </w:p>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3）再生资源再制造产业。大力发展循环经济产业，重点发展再生资源再制造产业。随着抚顺市千万吨炼油和百万吨乙烯项目的相继投产，已形成与产废企业紧密衔接的产业化链条。通过对抚顺地区危险废物处置类型、产生量、现状规模及未来处置量，结合现状企业，未来再生资源再制造产业主要以发展废油加工利用、精馏残渣利用、焚烧处置残渣利用、无机氰化物废物利用、医药废物利用及综合利用等。重点推进辽宁博翔环保科技有限公司危废项目开展。</w:t>
      </w:r>
    </w:p>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4）应急产业。依托沈抚新城国家应急产业示范基地，对接沈抚新城应急产业上下游溢出，重点引入和发展应急制造业和应急服务业。应急制造业主要以消防类应急产品为主，包括消防灭火救援技术产品、航空特种灭火救援技术与产品、水上灭火救援技术与产品等；应急服务业包括应急安全咨询、应急安全培训、应急安全物流以及应急产品展览业。</w:t>
      </w:r>
    </w:p>
    <w:p>
      <w:pPr>
        <w:pStyle w:val="2"/>
        <w:ind w:firstLine="561"/>
        <w:rPr>
          <w:rFonts w:ascii="仿宋" w:hAnsi="仿宋" w:eastAsia="仿宋"/>
          <w:color w:val="000000" w:themeColor="text1"/>
          <w:sz w:val="28"/>
          <w:szCs w:val="36"/>
          <w14:textFill>
            <w14:solidFill>
              <w14:schemeClr w14:val="tx1"/>
            </w14:solidFill>
          </w14:textFill>
        </w:rPr>
      </w:pPr>
      <w:r>
        <w:rPr>
          <w:rFonts w:hint="eastAsia" w:ascii="仿宋" w:hAnsi="仿宋" w:eastAsia="仿宋"/>
          <w:color w:val="000000" w:themeColor="text1"/>
          <w:sz w:val="28"/>
          <w:szCs w:val="36"/>
          <w14:textFill>
            <w14:solidFill>
              <w14:schemeClr w14:val="tx1"/>
            </w14:solidFill>
          </w14:textFill>
        </w:rPr>
        <w:t>（5）新服务业。主要发展经济开发区自贸服务(大宗商品交易、科技研发孵化、电子商务)、现代物流，以及</w:t>
      </w:r>
      <w:r>
        <w:rPr>
          <w:rFonts w:eastAsia="仿宋"/>
          <w:color w:val="000000" w:themeColor="text1"/>
          <w:sz w:val="28"/>
          <w:szCs w:val="36"/>
          <w14:textFill>
            <w14:solidFill>
              <w14:schemeClr w14:val="tx1"/>
            </w14:solidFill>
          </w14:textFill>
        </w:rPr>
        <w:t>5G</w:t>
      </w:r>
      <w:r>
        <w:rPr>
          <w:rFonts w:hint="eastAsia" w:ascii="仿宋" w:hAnsi="仿宋" w:eastAsia="仿宋"/>
          <w:color w:val="000000" w:themeColor="text1"/>
          <w:sz w:val="28"/>
          <w:szCs w:val="36"/>
          <w14:textFill>
            <w14:solidFill>
              <w14:schemeClr w14:val="tx1"/>
            </w14:solidFill>
          </w14:textFill>
        </w:rPr>
        <w:t xml:space="preserve"> 新基建(大数据中心、工业互联网)。“十四五”时期，进一步科学研判相关产业发展基础和发展方向，计划引入、承接沈阳市、沈抚新区及抚顺市的大数据产业等新基建类产业，以发展产业链上下游相关配套体系为切入点，逐步引进主导产业和龙头企业，有序扩大产业规模、完善产业链结构。</w:t>
      </w:r>
      <w:bookmarkEnd w:id="51"/>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bookmarkStart w:id="52" w:name="_Hlk52890841"/>
            <w:r>
              <w:rPr>
                <w:rFonts w:hint="eastAsia" w:ascii="仿宋" w:hAnsi="仿宋" w:eastAsia="仿宋"/>
                <w:b/>
                <w:bCs/>
                <w:color w:val="000000" w:themeColor="text1"/>
                <w:kern w:val="0"/>
                <w:sz w:val="28"/>
                <w:szCs w:val="28"/>
                <w14:textFill>
                  <w14:solidFill>
                    <w14:schemeClr w14:val="tx1"/>
                  </w14:solidFill>
                </w14:textFill>
              </w:rPr>
              <w:t>专栏4</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时期工业建设重点项目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5000" w:type="pct"/>
          </w:tcPr>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石文镇博翔环保科技有限公司再生资源综合利用项目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总投资8亿元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废塑料资源化（干熘制油）项目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抚顺大宗固废基地建设项目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总投资10亿元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r>
              <w:rPr>
                <w:rFonts w:ascii="仿宋" w:hAnsi="仿宋" w:eastAsia="仿宋"/>
                <w:color w:val="000000" w:themeColor="text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上马村银金矿项目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总投资2.3亿元</w:t>
            </w:r>
          </w:p>
          <w:p>
            <w:pPr>
              <w:pStyle w:val="2"/>
              <w:ind w:firstLine="420"/>
              <w:rPr>
                <w:rFonts w:ascii="仿宋" w:hAnsi="仿宋" w:eastAsia="仿宋"/>
                <w:bCs/>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5. 应急工业产业园杨木片区基础设施建设项目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总投资0.35亿元</w:t>
            </w:r>
          </w:p>
          <w:p>
            <w:pPr>
              <w:pStyle w:val="2"/>
              <w:ind w:firstLine="42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应急工业产业园样子沟园区基础设施建设项目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总投资0.6亿元</w:t>
            </w:r>
          </w:p>
          <w:p>
            <w:pPr>
              <w:pStyle w:val="2"/>
              <w:ind w:firstLine="42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新兴工业产业园区基础设施建设项目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总投资1.2亿元</w:t>
            </w:r>
          </w:p>
          <w:p>
            <w:pPr>
              <w:pStyle w:val="2"/>
              <w:ind w:firstLine="420"/>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金马铁矿技改项目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总投资0.5亿元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w:t>
            </w:r>
            <w:r>
              <w:rPr>
                <w:rFonts w:ascii="仿宋" w:hAnsi="仿宋" w:eastAsia="仿宋"/>
                <w:color w:val="000000" w:themeColor="text1"/>
                <w14:textFill>
                  <w14:solidFill>
                    <w14:schemeClr w14:val="tx1"/>
                  </w14:solidFill>
                </w14:textFill>
              </w:rPr>
              <w:t xml:space="preserve"> 抚顺罕王傲牛矿业智能管理系统</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w:t>
            </w:r>
            <w:r>
              <w:rPr>
                <w:rFonts w:ascii="仿宋" w:hAnsi="仿宋" w:eastAsia="仿宋"/>
                <w:color w:val="000000" w:themeColor="text1"/>
                <w14:textFill>
                  <w14:solidFill>
                    <w14:schemeClr w14:val="tx1"/>
                  </w14:solidFill>
                </w14:textFill>
              </w:rPr>
              <w:t>0.45</w:t>
            </w:r>
            <w:r>
              <w:rPr>
                <w:rFonts w:hint="eastAsia" w:ascii="仿宋" w:hAnsi="仿宋" w:eastAsia="仿宋"/>
                <w:color w:val="000000" w:themeColor="text1"/>
                <w14:textFill>
                  <w14:solidFill>
                    <w14:schemeClr w14:val="tx1"/>
                  </w14:solidFill>
                </w14:textFill>
              </w:rPr>
              <w:t>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抚顺中顺合鑫生物科技有限公司农业生态园项目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总投资0.65亿元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抚顺县木业循环经济产业园区建设一期项目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总投资2.5亿元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抚顺县木业循环经济产业园区建设二期项目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总投资5亿元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13.</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抚顺县木业循环经济产业园区基础设施建设项目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总投资2.69亿元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14. 抚顺（石文）再生资源产业园三期基础设施建设项目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总投资2亿元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15.</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抚顺（石文）再生资源产业园基础设施建设项目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总投资1.4亿元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16. 抚顺县铁矿精细化产业园区基础设施建设项目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总投资2亿元</w:t>
            </w:r>
          </w:p>
        </w:tc>
      </w:tr>
      <w:bookmarkEnd w:id="52"/>
    </w:tbl>
    <w:p>
      <w:pPr>
        <w:pStyle w:val="2"/>
        <w:ind w:firstLine="562" w:firstLineChars="200"/>
        <w:rPr>
          <w:rStyle w:val="41"/>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——大力发展现代服务业，布局物流业和电子商务。</w:t>
      </w:r>
      <w:r>
        <w:rPr>
          <w:rFonts w:hint="eastAsia" w:ascii="仿宋" w:hAnsi="仿宋" w:eastAsia="仿宋"/>
          <w:bCs/>
          <w:color w:val="000000" w:themeColor="text1"/>
          <w:sz w:val="28"/>
          <w:szCs w:val="28"/>
          <w14:textFill>
            <w14:solidFill>
              <w14:schemeClr w14:val="tx1"/>
            </w14:solidFill>
          </w14:textFill>
        </w:rPr>
        <w:t>大力发展现代服务业，加快布局现代物流业和电子商务产业。</w:t>
      </w:r>
      <w:r>
        <w:rPr>
          <w:rStyle w:val="41"/>
          <w:rFonts w:hint="eastAsia" w:ascii="仿宋" w:hAnsi="仿宋" w:eastAsia="仿宋" w:cs="Arial"/>
          <w:bCs/>
          <w:color w:val="000000" w:themeColor="text1"/>
          <w:sz w:val="28"/>
          <w:szCs w:val="28"/>
          <w14:textFill>
            <w14:solidFill>
              <w14:schemeClr w14:val="tx1"/>
            </w14:solidFill>
          </w14:textFill>
        </w:rPr>
        <w:t>（1）加快发展现代物流业。依托三友农业公司农产品仓促交易中心、富春农业、大健友、东北亚木材交易中心等生产型服务业，重点建设物流仓储配送项目，布局打造现代仓储物流产业；加快物流区建设，围绕商贸集聚区、农产品加工区、大型专业批发市场，建设一批商贸物流园区；构建城市专业化物流服务配送体系，强化农村资源整合，大力推广统一配送、共同配送、电子商务配送等专业化配送模式；推进冷链物流发展，加快建设配送中心和末端配送网络；推进县内商贸企业商品配送中心建设，重点推进辽宁三友农业有限公司农产品核心加工区建设。重点抓好东北亚木材交易中心物流项目及再生资源产业园区招商项目建设，谋划运作一批起点高、规模大、对县域经济发展有战略意义的大项目、好项目。（2）</w:t>
      </w:r>
      <w:bookmarkStart w:id="53" w:name="_Hlk52887595"/>
      <w:r>
        <w:rPr>
          <w:rStyle w:val="41"/>
          <w:rFonts w:hint="eastAsia" w:ascii="仿宋" w:hAnsi="仿宋" w:eastAsia="仿宋" w:cs="Arial"/>
          <w:bCs/>
          <w:color w:val="000000" w:themeColor="text1"/>
          <w:sz w:val="28"/>
          <w:szCs w:val="28"/>
          <w14:textFill>
            <w14:solidFill>
              <w14:schemeClr w14:val="tx1"/>
            </w14:solidFill>
          </w14:textFill>
        </w:rPr>
        <w:t>加快发展电子商务。加快推进实体零售企业线上线下融合发展，引导中小微企业借助第三方电子商务平台，开展在线采购、产品体验、销售等生产经营活动，重点推动东北亚木业交易中心通过网上平台拓展省内外市场；加快电商平台建设，推进创赢电子商务公司、抚顺县电子商务协会发展，做大做强资源网络平台；拓展网上抚顺县产品销售市场，促进线上和线下消费能力提升；加快农村电子商务网络建设，融合涉农电子商务企业、农产品批发市场等线下资源，拓展农产品网上销售渠道。另外，通过整合整个抚顺地区的有利资源，打造“苏子富春”的品牌，并将“辽宁礼物”品牌推向省内以及全国；积极建设抚顺县的“互联网小镇”项目，争做农产品流通体系的示范基地，将抚顺县的地方特色产品运用电商的渠道推向全国。</w:t>
      </w:r>
      <w:bookmarkEnd w:id="53"/>
    </w:p>
    <w:p>
      <w:pPr>
        <w:pStyle w:val="2"/>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——推动旅游业高质量发展，建设全域旅游示范区。</w:t>
      </w:r>
      <w:r>
        <w:rPr>
          <w:rFonts w:hint="eastAsia" w:ascii="仿宋" w:hAnsi="仿宋" w:eastAsia="仿宋"/>
          <w:bCs/>
          <w:color w:val="000000" w:themeColor="text1"/>
          <w:sz w:val="28"/>
          <w:szCs w:val="28"/>
          <w14:textFill>
            <w14:solidFill>
              <w14:schemeClr w14:val="tx1"/>
            </w14:solidFill>
          </w14:textFill>
        </w:rPr>
        <w:t>“十四五”时期，以“全景、全域、全季”旅游为目标，推进国家全域旅游示范区创建工作。围绕“吃、住、行、游、购、娱、商、养、学、闲、情、奇”十二大要素进行业态创新，优化旅游产业布局，整合旅游资源，大力推进旅游景区品质提升和升级全域旅游要素产品。深入推进文旅产业融合，重点建设抚金线抗联文化长廊建设、台上线历史文化长廊建设、三块石国家森林公园爱国教育基地建设、沈抚县委旧址纪念馆周边建设等抗联文旅项目；重点打造柞蚕文化特色村、佟庄子关东民俗村、三块石满族风情村等国家级乡村旅游重点村；着力推进天女木兰文旅小镇、马圈子乡金斗红色文旅小镇、石文镇梨花小镇、后安镇食用菌小镇等旅游文化特色小镇建设。创作精品文艺作品助力旅游演艺，编写“讲好抚顺县故事”主题作品，全力打造非遗文化旅游品牌。加强区域交流与合作，积极与其它旅游大县加强联动，共同打造精品主题游线，推进多层次的区域旅游合作；积极参加对外交流活动，巩固和拓宽辽宁省内外客源市场，开发新客源市场。强化市场规范与秩序，加大行业监管力度，深化文化和旅游行业监管体系融合，建立健全依法行政工作责任制；加强安全和应急能力建设，着力推进</w:t>
      </w:r>
      <w:r>
        <w:rPr>
          <w:rFonts w:eastAsia="仿宋"/>
          <w:bCs/>
          <w:color w:val="000000" w:themeColor="text1"/>
          <w:sz w:val="28"/>
          <w:szCs w:val="28"/>
          <w14:textFill>
            <w14:solidFill>
              <w14:schemeClr w14:val="tx1"/>
            </w14:solidFill>
          </w14:textFill>
        </w:rPr>
        <w:t>A</w:t>
      </w:r>
      <w:r>
        <w:rPr>
          <w:rFonts w:hint="eastAsia" w:ascii="仿宋" w:hAnsi="仿宋" w:eastAsia="仿宋"/>
          <w:bCs/>
          <w:color w:val="000000" w:themeColor="text1"/>
          <w:sz w:val="28"/>
          <w:szCs w:val="28"/>
          <w14:textFill>
            <w14:solidFill>
              <w14:schemeClr w14:val="tx1"/>
            </w14:solidFill>
          </w14:textFill>
        </w:rPr>
        <w:t>级景区、连锁酒店安全风险评估工作，加强大型活动、假日旅游安全服务保障。同时，推进旅游产业与生态、农业、体育、非遗、科技等跨界融合。依托生态农业资源，发展梨花谷农文旅融合模式，建设七彩柞蚕谷项目；依托湿地生态环境，启动国家级社河湿地公园景观化改造工程；依托有机农业产业建设四家子村城郊型农业观光园区建设项目、江东中药材基地项目、黑木耳产业园区项目等；依托全县军旅资源优势，规划建设“打靶归来”等军事文化主题公园，实现“旅游+国防教育”融合发展。</w:t>
      </w:r>
      <w:r>
        <w:rPr>
          <w:rFonts w:hint="eastAsia" w:ascii="仿宋" w:hAnsi="仿宋" w:eastAsia="仿宋"/>
          <w:color w:val="000000" w:themeColor="text1"/>
          <w:sz w:val="28"/>
          <w:szCs w:val="36"/>
          <w14:textFill>
            <w14:solidFill>
              <w14:schemeClr w14:val="tx1"/>
            </w14:solidFill>
          </w14:textFill>
        </w:rPr>
        <w:t>大力推进民宿产业发展，推进民宿项目落实落地，扶持房车营地等旅游新业态发展。</w:t>
      </w:r>
    </w:p>
    <w:p>
      <w:pPr>
        <w:pStyle w:val="2"/>
        <w:rPr>
          <w:rFonts w:ascii="仿宋" w:hAnsi="仿宋" w:eastAsia="仿宋"/>
          <w:color w:val="000000" w:themeColor="text1"/>
          <w:szCs w:val="21"/>
          <w14:textFill>
            <w14:solidFill>
              <w14:schemeClr w14:val="tx1"/>
            </w14:solidFill>
          </w14:textFill>
        </w:rPr>
      </w:pPr>
    </w:p>
    <w:p>
      <w:pPr>
        <w:pStyle w:val="2"/>
        <w:rPr>
          <w:rFonts w:ascii="仿宋" w:hAnsi="仿宋" w:eastAsia="仿宋"/>
          <w:color w:val="000000" w:themeColor="text1"/>
          <w:szCs w:val="21"/>
          <w14:textFill>
            <w14:solidFill>
              <w14:schemeClr w14:val="tx1"/>
            </w14:solidFill>
          </w14:textFill>
        </w:rPr>
      </w:pPr>
    </w:p>
    <w:p>
      <w:pPr>
        <w:pStyle w:val="2"/>
        <w:rPr>
          <w:rFonts w:ascii="仿宋" w:hAnsi="仿宋" w:eastAsia="仿宋"/>
          <w:color w:val="000000" w:themeColor="text1"/>
          <w:szCs w:val="21"/>
          <w14:textFill>
            <w14:solidFill>
              <w14:schemeClr w14:val="tx1"/>
            </w14:solidFill>
          </w14:textFill>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专栏5</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时期旅游建设重点项目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00" w:type="pct"/>
          </w:tcPr>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抚顺县百里抗联红色雕塑项目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总投资0.08亿元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抚顺县冰雪旅游基础设施建设项目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抚顺县全域旅游示范区建设项目0.3亿元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抚顺县三块石相思谷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总投资1.5亿元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抚顺县三块石越野登山步道建设项目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总投资0.12亿元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抚顺县三块石温泉项目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总投资10亿元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抚顺县社河全民健身步道建设项目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总投资0.15亿元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抚顺县社河景观带建设项目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总投资0.3亿元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9.</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抚顺马古山风景区建设项目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总投资0.77亿元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10.</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一山一水一村寨项目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总投资1.6亿元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11.</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春田花开项目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总投资1.1亿元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12.</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罕王集团房（自驾）车露营地项目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总投资0.3亿元</w:t>
            </w:r>
          </w:p>
          <w:p>
            <w:pPr>
              <w:pStyle w:val="2"/>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13.</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驭龙生态旅游康养项目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总投资3.4亿元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14.</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台上线文化长廊建设项目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总投资3亿元</w:t>
            </w:r>
          </w:p>
        </w:tc>
      </w:tr>
    </w:tbl>
    <w:p>
      <w:pPr>
        <w:pStyle w:val="2"/>
        <w:rPr>
          <w:rFonts w:ascii="仿宋" w:hAnsi="仿宋" w:eastAsia="仿宋"/>
          <w:color w:val="000000" w:themeColor="text1"/>
          <w:szCs w:val="21"/>
          <w14:textFill>
            <w14:solidFill>
              <w14:schemeClr w14:val="tx1"/>
            </w14:solidFill>
          </w14:textFill>
        </w:rPr>
      </w:pPr>
    </w:p>
    <w:p>
      <w:pPr>
        <w:pStyle w:val="4"/>
        <w:spacing w:line="360" w:lineRule="auto"/>
        <w:ind w:firstLine="0" w:firstLineChars="0"/>
        <w:jc w:val="center"/>
        <w:rPr>
          <w:color w:val="000000" w:themeColor="text1"/>
          <w14:textFill>
            <w14:solidFill>
              <w14:schemeClr w14:val="tx1"/>
            </w14:solidFill>
          </w14:textFill>
        </w:rPr>
      </w:pPr>
      <w:bookmarkStart w:id="54" w:name="_Toc53698373"/>
      <w:r>
        <w:rPr>
          <w:rFonts w:hint="eastAsia"/>
          <w:color w:val="000000" w:themeColor="text1"/>
          <w14:textFill>
            <w14:solidFill>
              <w14:schemeClr w14:val="tx1"/>
            </w14:solidFill>
          </w14:textFill>
        </w:rPr>
        <w:t>第四节  推进新型城镇化建设：完善基础设施，建设宜居乡镇</w:t>
      </w:r>
      <w:bookmarkEnd w:id="54"/>
    </w:p>
    <w:p>
      <w:pPr>
        <w:pStyle w:val="2"/>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在“十四五”时期，</w:t>
      </w:r>
      <w:r>
        <w:rPr>
          <w:rFonts w:hint="eastAsia" w:ascii="仿宋" w:hAnsi="仿宋" w:eastAsia="仿宋"/>
          <w:bCs/>
          <w:color w:val="000000" w:themeColor="text1"/>
          <w:sz w:val="28"/>
          <w:szCs w:val="28"/>
          <w14:textFill>
            <w14:solidFill>
              <w14:schemeClr w14:val="tx1"/>
            </w14:solidFill>
          </w14:textFill>
        </w:rPr>
        <w:t>坚持实施</w:t>
      </w:r>
      <w:r>
        <w:rPr>
          <w:rFonts w:hint="eastAsia" w:ascii="仿宋" w:hAnsi="仿宋" w:eastAsia="仿宋"/>
          <w:color w:val="000000" w:themeColor="text1"/>
          <w:sz w:val="28"/>
          <w:szCs w:val="28"/>
          <w14:textFill>
            <w14:solidFill>
              <w14:schemeClr w14:val="tx1"/>
            </w14:solidFill>
          </w14:textFill>
        </w:rPr>
        <w:t>乡村振兴战略，加快城镇化进程。以建设美丽宜居乡村为导向，以农村垃圾、污水处理和村容村貌提升为主攻方向，开展农村人居环境整治行动。</w:t>
      </w:r>
      <w:r>
        <w:rPr>
          <w:rFonts w:hint="eastAsia" w:ascii="仿宋" w:hAnsi="仿宋" w:eastAsia="仿宋"/>
          <w:bCs/>
          <w:color w:val="000000" w:themeColor="text1"/>
          <w:sz w:val="28"/>
          <w:szCs w:val="28"/>
          <w14:textFill>
            <w14:solidFill>
              <w14:schemeClr w14:val="tx1"/>
            </w14:solidFill>
          </w14:textFill>
        </w:rPr>
        <w:t>坚持推进基础设施建设高质量发展，优化区域空间布局。巩固智慧化信息平台建设成果，加大新型基础设施建设投资，持续加强区域空间协调联发展，形成具有抚顺县特点的现代区域发展新局面。</w:t>
      </w:r>
    </w:p>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——增强辐射联动，打造新型城镇。</w:t>
      </w:r>
      <w:r>
        <w:rPr>
          <w:rFonts w:hint="eastAsia" w:ascii="仿宋" w:hAnsi="仿宋" w:eastAsia="仿宋"/>
          <w:bCs/>
          <w:color w:val="000000" w:themeColor="text1"/>
          <w:sz w:val="28"/>
          <w:szCs w:val="28"/>
          <w14:textFill>
            <w14:solidFill>
              <w14:schemeClr w14:val="tx1"/>
            </w14:solidFill>
          </w14:textFill>
        </w:rPr>
        <w:t>“十四五”期间，</w:t>
      </w:r>
      <w:r>
        <w:rPr>
          <w:rFonts w:hint="eastAsia" w:ascii="仿宋" w:hAnsi="仿宋" w:eastAsia="仿宋"/>
          <w:color w:val="000000" w:themeColor="text1"/>
          <w:sz w:val="28"/>
          <w:szCs w:val="36"/>
          <w14:textFill>
            <w14:solidFill>
              <w14:schemeClr w14:val="tx1"/>
            </w14:solidFill>
          </w14:textFill>
        </w:rPr>
        <w:t>积极稳妥推进合村并屯，促进城镇间的辐射与联动效应，充分挖掘本地区自然、文化、旅游等资源，着力打造重点镇、特色小镇，发挥石文、后安、救兵、上马乡镇典型示范作用。强化海浪乡、峡河乡、马圈子乡、汤图乡的辐射作用，加快城镇基础设施建设，壮大城镇规模，完善城镇功能，增强城镇对人口和生产要素的积聚力。“十四五”时期，一方面，将石文镇、后安镇、救兵镇建设成为工业发达、商贸活跃、功能完善、辐射能力强的中心镇。石文镇继续壮大已有的苏子生态谷和军林合作社特色农业生产基地，积极推进再生资源产业园和新型工业园区的开发建设；后安镇继续完善三块石康养旅游区、傲牛矿产开发区、后安城镇规划区、抚金线农旅经济带和通武线农林产业带的“三区两带”建设；救兵镇围绕木业支撑，同步发展商贸、物流等相关产业，加快建设救兵木业特色镇，全力打造国家级“地板小镇”、东北亚地区有较高影响力“中国地板第一镇”。另一方面，将上马镇、海浪乡、峡河乡、马圈子乡、汤图乡建设成为具有产业支撑的特色小镇。结合各乡镇实际情况，本着宜工则工、宜农则农原则，规划建设乡镇产业园区。上马镇以发展城郊型特色农业和生态旅游业为主导，推进马古山风景区、现代化农业产业园等园区建设；海浪乡以发展新型工业和农旅融合为主导，推进海浪新型工业产业园提质升级，打造观光农业休闲游的心灵小镇；峡河乡以发展城郊型特色农业为主导，推进七彩柞蚕生态谷建设；马圈子乡以发展矿业和文旅融合为主导，重点建设“天女木兰”文旅小镇和红色文化旅游小镇；汤图乡以发展城郊型特色农业和旅游业为主导，加快推进食用菌深加工，建设生态有机农业示范区，推进满族特色旅游小镇建设。</w:t>
      </w:r>
    </w:p>
    <w:p>
      <w:pPr>
        <w:widowControl/>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——改善人居环境，提升村容村貌。</w:t>
      </w:r>
      <w:r>
        <w:rPr>
          <w:rStyle w:val="41"/>
          <w:rFonts w:hint="eastAsia" w:ascii="仿宋" w:hAnsi="仿宋" w:eastAsia="仿宋" w:cs="仿宋"/>
          <w:color w:val="000000" w:themeColor="text1"/>
          <w:sz w:val="28"/>
          <w:szCs w:val="28"/>
          <w14:textFill>
            <w14:solidFill>
              <w14:schemeClr w14:val="tx1"/>
            </w14:solidFill>
          </w14:textFill>
        </w:rPr>
        <w:t>开展村庄清洁行动、村庄整洁清洁行动，推动绿化、美化、亮化，逐步使广大村民的观念由“要我建”转变为“我要建”。紧密结合“千村美丽、万村整洁”行动，针对村民建房、公共空间管理、生活垃圾治理、绿化管理等各项管理工作，通过村民代表会议，组织村民共同商议，制定村庄环境建设管护公约，商定违反公约的处理办法，并监督执行。实行门前“三包”制度，村民对自己宅前屋后承担三包责任，做好房前屋后美化、绿化工作。公共区域安排专职清洁员，由党员带头认领，负责监督维护。建立垃圾分类长效机制，监督村民坚持生活垃圾“五指分类法”，不定期对各户垃圾分类进行检查。更新完善垃圾清运设备，实现垃圾治理科学化，全面提升清运效率。积极落实国家“节能减排”政策，以及我省“蓝天工程”，加强城镇污水处理及再生利用设施建设，建设石文、救兵污水处理厂，推进污泥无害化处理。</w:t>
      </w:r>
      <w:r>
        <w:rPr>
          <w:rStyle w:val="41"/>
          <w:rFonts w:eastAsia="仿宋"/>
          <w:color w:val="000000" w:themeColor="text1"/>
          <w:sz w:val="28"/>
          <w:szCs w:val="28"/>
          <w14:textFill>
            <w14:solidFill>
              <w14:schemeClr w14:val="tx1"/>
            </w14:solidFill>
          </w14:textFill>
        </w:rPr>
        <w:t>2025年底前，中心镇区排水设施全部完成雨污分流，污水处理率达到90%。</w:t>
      </w:r>
      <w:r>
        <w:rPr>
          <w:rStyle w:val="41"/>
          <w:rFonts w:hint="eastAsia" w:ascii="仿宋" w:hAnsi="仿宋" w:eastAsia="仿宋" w:cs="仿宋"/>
          <w:color w:val="000000" w:themeColor="text1"/>
          <w:sz w:val="28"/>
          <w:szCs w:val="28"/>
          <w14:textFill>
            <w14:solidFill>
              <w14:schemeClr w14:val="tx1"/>
            </w14:solidFill>
          </w14:textFill>
        </w:rPr>
        <w:t xml:space="preserve">做好路灯亮化工，严格落实管理办法，保障路灯亮灯率，持续为村民夜晚出行保驾护航。积极组织开展“乡镇评村、村评组、组评户”活动，通过政策激励调动村民参与农村人居环境整治的积极性。 </w:t>
      </w:r>
    </w:p>
    <w:p>
      <w:pPr>
        <w:pStyle w:val="2"/>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——完善交通基础设施，推进城镇交通一体化。</w:t>
      </w:r>
      <w:r>
        <w:rPr>
          <w:rFonts w:hint="eastAsia" w:ascii="仿宋" w:hAnsi="仿宋" w:eastAsia="仿宋"/>
          <w:bCs/>
          <w:color w:val="000000" w:themeColor="text1"/>
          <w:sz w:val="28"/>
          <w:szCs w:val="28"/>
          <w14:textFill>
            <w14:solidFill>
              <w14:schemeClr w14:val="tx1"/>
            </w14:solidFill>
          </w14:textFill>
        </w:rPr>
        <w:t>配合构建国家综合立体交通网，协调处理好公铁立交问题，确保高铁建成通车。重点完成通武线官山(高速公路出口)至县界（养树岭）8.4公里一级路改扩建，扩充辽中环高速公路的辐射功能，打开我县与以沈阳为中心辽宁中部城市群连系的通道；配合构建沈抚城市交通网，加强公路与城市道路的衔接，规划搞好通武、沈环、抚丹、抚金、碾上五条城市出口路建设。完善广覆盖的农村交通基础设施网。在巩固我县“四好农村路”建设成果的基础上，按照建设交通强国的要求，以试点为载体，继续采取更强有力的措施推进“四好农村路”高质量发展。通过</w:t>
      </w:r>
      <w:r>
        <w:rPr>
          <w:rFonts w:eastAsia="仿宋"/>
          <w:bCs/>
          <w:color w:val="000000" w:themeColor="text1"/>
          <w:sz w:val="28"/>
          <w:szCs w:val="28"/>
          <w14:textFill>
            <w14:solidFill>
              <w14:schemeClr w14:val="tx1"/>
            </w14:solidFill>
          </w14:textFill>
        </w:rPr>
        <w:t>1-2年时间，逐步实现</w:t>
      </w:r>
      <w:r>
        <w:rPr>
          <w:rFonts w:hint="eastAsia" w:eastAsia="仿宋"/>
          <w:bCs/>
          <w:color w:val="000000" w:themeColor="text1"/>
          <w:sz w:val="28"/>
          <w:szCs w:val="28"/>
          <w14:textFill>
            <w14:solidFill>
              <w14:schemeClr w14:val="tx1"/>
            </w14:solidFill>
          </w14:textFill>
        </w:rPr>
        <w:t>“</w:t>
      </w:r>
      <w:r>
        <w:rPr>
          <w:rFonts w:eastAsia="仿宋"/>
          <w:bCs/>
          <w:color w:val="000000" w:themeColor="text1"/>
          <w:sz w:val="28"/>
          <w:szCs w:val="28"/>
          <w14:textFill>
            <w14:solidFill>
              <w14:schemeClr w14:val="tx1"/>
            </w14:solidFill>
          </w14:textFill>
        </w:rPr>
        <w:t>四好农村路</w:t>
      </w:r>
      <w:r>
        <w:rPr>
          <w:rFonts w:hint="eastAsia" w:eastAsia="仿宋"/>
          <w:bCs/>
          <w:color w:val="000000" w:themeColor="text1"/>
          <w:sz w:val="28"/>
          <w:szCs w:val="28"/>
          <w14:textFill>
            <w14:solidFill>
              <w14:schemeClr w14:val="tx1"/>
            </w14:solidFill>
          </w14:textFill>
        </w:rPr>
        <w:t>”</w:t>
      </w:r>
      <w:r>
        <w:rPr>
          <w:rFonts w:eastAsia="仿宋"/>
          <w:bCs/>
          <w:color w:val="000000" w:themeColor="text1"/>
          <w:sz w:val="28"/>
          <w:szCs w:val="28"/>
          <w14:textFill>
            <w14:solidFill>
              <w14:schemeClr w14:val="tx1"/>
            </w14:solidFill>
          </w14:textFill>
        </w:rPr>
        <w:t>试点示范引领，农村公路实现村村互联、村组相通，25个自然屯实现硬化道路全覆盖，并完成破损路面维修改造。通过3-5年时间，进一步推动</w:t>
      </w:r>
      <w:r>
        <w:rPr>
          <w:rFonts w:hint="eastAsia" w:eastAsia="仿宋"/>
          <w:bCs/>
          <w:color w:val="000000" w:themeColor="text1"/>
          <w:sz w:val="28"/>
          <w:szCs w:val="28"/>
          <w14:textFill>
            <w14:solidFill>
              <w14:schemeClr w14:val="tx1"/>
            </w14:solidFill>
          </w14:textFill>
        </w:rPr>
        <w:t>“</w:t>
      </w:r>
      <w:r>
        <w:rPr>
          <w:rFonts w:eastAsia="仿宋"/>
          <w:bCs/>
          <w:color w:val="000000" w:themeColor="text1"/>
          <w:sz w:val="28"/>
          <w:szCs w:val="28"/>
          <w14:textFill>
            <w14:solidFill>
              <w14:schemeClr w14:val="tx1"/>
            </w14:solidFill>
          </w14:textFill>
        </w:rPr>
        <w:t>四好农村路</w:t>
      </w:r>
      <w:r>
        <w:rPr>
          <w:rFonts w:hint="eastAsia" w:eastAsia="仿宋"/>
          <w:bCs/>
          <w:color w:val="000000" w:themeColor="text1"/>
          <w:sz w:val="28"/>
          <w:szCs w:val="28"/>
          <w14:textFill>
            <w14:solidFill>
              <w14:schemeClr w14:val="tx1"/>
            </w14:solidFill>
          </w14:textFill>
        </w:rPr>
        <w:t>”</w:t>
      </w:r>
      <w:r>
        <w:rPr>
          <w:rFonts w:eastAsia="仿宋"/>
          <w:bCs/>
          <w:color w:val="000000" w:themeColor="text1"/>
          <w:sz w:val="28"/>
          <w:szCs w:val="28"/>
          <w14:textFill>
            <w14:solidFill>
              <w14:schemeClr w14:val="tx1"/>
            </w14:solidFill>
          </w14:textFill>
        </w:rPr>
        <w:t>高质量发展，形成外通内联的农村公路网络，打造特色景观路、美丽乡村路121公里，沿线设置驿站30处。</w:t>
      </w:r>
      <w:r>
        <w:rPr>
          <w:rFonts w:hint="eastAsia" w:ascii="仿宋" w:hAnsi="仿宋" w:eastAsia="仿宋"/>
          <w:bCs/>
          <w:color w:val="000000" w:themeColor="text1"/>
          <w:sz w:val="28"/>
          <w:szCs w:val="28"/>
          <w14:textFill>
            <w14:solidFill>
              <w14:schemeClr w14:val="tx1"/>
            </w14:solidFill>
          </w14:textFill>
        </w:rPr>
        <w:t>加强邮政基础设施建设，加快农村邮政网点、村邮站、便民服务点建设，实现县有分拨、乡有网点、村村通快递的目标。以现有的智慧路长平台为基础，建立智慧道路综合服务中心，探索并推进智慧运输综合服务平台建设。</w:t>
      </w:r>
    </w:p>
    <w:p>
      <w:pPr>
        <w:pStyle w:val="2"/>
        <w:ind w:firstLine="562" w:firstLineChars="200"/>
        <w:rPr>
          <w:rFonts w:ascii="仿宋" w:hAnsi="仿宋" w:eastAsia="仿宋"/>
          <w:bCs/>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——促进农村经济多元化发展，促进农民收入持续增长。</w:t>
      </w:r>
      <w:r>
        <w:rPr>
          <w:rFonts w:hint="eastAsia" w:ascii="仿宋" w:hAnsi="仿宋" w:eastAsia="仿宋"/>
          <w:bCs/>
          <w:color w:val="000000" w:themeColor="text1"/>
          <w:sz w:val="28"/>
          <w:szCs w:val="28"/>
          <w14:textFill>
            <w14:solidFill>
              <w14:schemeClr w14:val="tx1"/>
            </w14:solidFill>
          </w14:textFill>
        </w:rPr>
        <w:t>“十四五”期间，</w:t>
      </w:r>
      <w:r>
        <w:rPr>
          <w:rFonts w:hint="eastAsia" w:ascii="仿宋" w:hAnsi="仿宋" w:eastAsia="仿宋"/>
          <w:bCs/>
          <w:color w:val="000000" w:themeColor="text1"/>
          <w:sz w:val="28"/>
          <w:szCs w:val="36"/>
          <w14:textFill>
            <w14:solidFill>
              <w14:schemeClr w14:val="tx1"/>
            </w14:solidFill>
          </w14:textFill>
        </w:rPr>
        <w:t>深入挖掘农业内部增收潜力，推动现代农业发展，拓展农业功能，提高农业效益，提高农产品品质和效益。大力发展我县特色型种植业和规模型养殖业，提高我县食用菌、粮食、果树、设施农业和柞蚕产业市场竞争力，推动“一村一品”发展，促进农民增收。推动农旅融合，打造抚顺县精品乡村旅游路线，做强抚顺乡村旅游品牌，带动特色农产品开发和农民创业增收。大力发展农产品加工业，延长产业链条，提高农产品附加值，并通过农业产业化经营、专业合作社等方式，推动农业生产的专业化和标准化，并让农民分享到产后环节的利润，促进农民增收。加速构建新型农业经营体系，优先扶持发展种粮大户，逐步把有文化、懂技术、会经营的农村实用人才、技术能手、农村致富带头人和返乡创业大学生培养成专业种养大户；鼓励适度规模种养大户通过规范生产经营、认定登记转型为家庭农场，重点培育一批特色鲜明、运作规范、经济效益好的示范家庭农场；不断壮大合作社生产经营规模，培育一批全程生产服务、创办经营实体、三产融合发展的示范合作社。切实推进土地流转，整合扶持村级集体经济试点村资金、壮大空壳村集体经济奖补资金及扶贫互助金转型使用资金，结合各村实际和产业特点，发展壮大村集体经济。进一步加大对农民工就业技能的培训力度，继续组织实施好现有的农村劳动力转移就业和自主创业培训工程，扩大培训规模，提高培训的针对性和实用性。加快发展农村公共事业，建立稳定的农村文化投入保障机制，尽快形成完备的农村公共文化服务体系。</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专栏6</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时期新型城镇化建设重点项目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tcPr>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抚顺县石文镇生活垃圾处理设施建设项目</w:t>
            </w:r>
            <w:r>
              <w:rPr>
                <w:rFonts w:hint="eastAsia" w:eastAsia="仿宋"/>
                <w:bCs/>
                <w:color w:val="000000" w:themeColor="text1"/>
                <w:szCs w:val="21"/>
                <w14:textFill>
                  <w14:solidFill>
                    <w14:schemeClr w14:val="tx1"/>
                  </w14:solidFill>
                </w14:textFill>
              </w:rPr>
              <w:tab/>
            </w:r>
            <w:r>
              <w:rPr>
                <w:rFonts w:hint="eastAsia" w:eastAsia="仿宋"/>
                <w:bCs/>
                <w:color w:val="000000" w:themeColor="text1"/>
                <w:szCs w:val="21"/>
                <w14:textFill>
                  <w14:solidFill>
                    <w14:schemeClr w14:val="tx1"/>
                  </w14:solidFill>
                </w14:textFill>
              </w:rPr>
              <w:t>总投资0.2亿元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2.</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抚顺县救兵镇污水处理项目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总投资0.373亿元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3.</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抚顺县人居环境整治项目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总投资0.46亿元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4.</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抚顺县农村城镇化项目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总投资5亿元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5.</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抚顺县县城老旧小区维修改造项目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总投资0.5亿元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救兵镇垃圾分选厂项目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总投资0.15亿元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7.</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后安镇区改造项目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总投资0.5亿元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8.</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救兵镇主镇区村屯污水管网建设工程项目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总投资0.3亿元</w:t>
            </w:r>
          </w:p>
          <w:p>
            <w:pPr>
              <w:pStyle w:val="2"/>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9.</w:t>
            </w:r>
            <w:r>
              <w:rPr>
                <w:rFonts w:eastAsia="仿宋"/>
                <w:bCs/>
                <w:color w:val="000000" w:themeColor="text1"/>
                <w:szCs w:val="21"/>
                <w14:textFill>
                  <w14:solidFill>
                    <w14:schemeClr w14:val="tx1"/>
                  </w14:solidFill>
                </w14:textFill>
              </w:rPr>
              <w:t xml:space="preserve"> 后安木耳小镇  总投资20亿元</w:t>
            </w:r>
          </w:p>
          <w:p>
            <w:pPr>
              <w:pStyle w:val="2"/>
              <w:ind w:firstLine="420" w:firstLineChars="200"/>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10</w:t>
            </w:r>
            <w:r>
              <w:rPr>
                <w:rFonts w:eastAsia="仿宋"/>
                <w:color w:val="000000" w:themeColor="text1"/>
                <w:szCs w:val="21"/>
                <w14:textFill>
                  <w14:solidFill>
                    <w14:schemeClr w14:val="tx1"/>
                  </w14:solidFill>
                </w14:textFill>
              </w:rPr>
              <w:t>. 生态柞蚕谷  总投资5</w:t>
            </w:r>
            <w:r>
              <w:rPr>
                <w:rFonts w:hint="eastAsia" w:eastAsia="仿宋"/>
                <w:color w:val="000000" w:themeColor="text1"/>
                <w:szCs w:val="21"/>
                <w14:textFill>
                  <w14:solidFill>
                    <w14:schemeClr w14:val="tx1"/>
                  </w14:solidFill>
                </w14:textFill>
              </w:rPr>
              <w:t>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救兵</w:t>
            </w:r>
            <w:r>
              <w:rPr>
                <w:rFonts w:ascii="仿宋" w:hAnsi="仿宋" w:eastAsia="仿宋"/>
                <w:color w:val="000000" w:themeColor="text1"/>
                <w:szCs w:val="21"/>
                <w14:textFill>
                  <w14:solidFill>
                    <w14:schemeClr w14:val="tx1"/>
                  </w14:solidFill>
                </w14:textFill>
              </w:rPr>
              <w:t>特色小镇现代农业观光项目</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w:t>
            </w: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续专栏6</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时期新型城镇化建设重点项目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tcPr>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救兵特色小镇商住开发一期项目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总投资3亿元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抚顺新南环抚顺县段项目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总投资2.8亿元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抚顺新南环抚顺县段项目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总投资7.48亿元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15.</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苏边线改扩建工程项目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总投资5.6亿元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16.</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农村公路维修改造工程项目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总投资0.4亿元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17.</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农村公路危桥及浅基础桥梁改造工程项目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总投资0.12亿元</w:t>
            </w:r>
          </w:p>
          <w:p>
            <w:pPr>
              <w:pStyle w:val="2"/>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18.</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农村公路驿站建设项目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总投资0.1亿元</w:t>
            </w:r>
          </w:p>
          <w:p>
            <w:pPr>
              <w:pStyle w:val="2"/>
              <w:ind w:firstLine="420" w:firstLineChars="200"/>
              <w:rPr>
                <w:rFonts w:eastAsia="仿宋"/>
                <w:bCs/>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19.</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农村客运站建设工程项目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总投资0.12亿元</w:t>
            </w:r>
          </w:p>
        </w:tc>
      </w:tr>
    </w:tbl>
    <w:p>
      <w:pPr>
        <w:pStyle w:val="2"/>
        <w:rPr>
          <w:rFonts w:ascii="仿宋" w:hAnsi="仿宋" w:eastAsia="仿宋"/>
          <w:bCs/>
          <w:color w:val="000000" w:themeColor="text1"/>
          <w:sz w:val="28"/>
          <w:szCs w:val="36"/>
          <w14:textFill>
            <w14:solidFill>
              <w14:schemeClr w14:val="tx1"/>
            </w14:solidFill>
          </w14:textFill>
        </w:rPr>
      </w:pPr>
    </w:p>
    <w:p>
      <w:pPr>
        <w:pStyle w:val="4"/>
        <w:spacing w:line="360" w:lineRule="auto"/>
        <w:ind w:firstLine="0" w:firstLineChars="0"/>
        <w:jc w:val="center"/>
        <w:rPr>
          <w:color w:val="000000" w:themeColor="text1"/>
          <w14:textFill>
            <w14:solidFill>
              <w14:schemeClr w14:val="tx1"/>
            </w14:solidFill>
          </w14:textFill>
        </w:rPr>
      </w:pPr>
      <w:bookmarkStart w:id="55" w:name="_Toc44936151"/>
      <w:bookmarkStart w:id="56" w:name="_Toc53698374"/>
      <w:r>
        <w:rPr>
          <w:rFonts w:hint="eastAsia"/>
          <w:color w:val="000000" w:themeColor="text1"/>
          <w14:textFill>
            <w14:solidFill>
              <w14:schemeClr w14:val="tx1"/>
            </w14:solidFill>
          </w14:textFill>
        </w:rPr>
        <w:t>第五节</w:t>
      </w:r>
      <w:r>
        <w:rPr>
          <w:color w:val="000000" w:themeColor="text1"/>
          <w14:textFill>
            <w14:solidFill>
              <w14:schemeClr w14:val="tx1"/>
            </w14:solidFill>
          </w14:textFill>
        </w:rPr>
        <w:t xml:space="preserve">  </w:t>
      </w:r>
      <w:bookmarkEnd w:id="55"/>
      <w:r>
        <w:rPr>
          <w:rFonts w:hint="eastAsia"/>
          <w:color w:val="000000" w:themeColor="text1"/>
          <w14:textFill>
            <w14:solidFill>
              <w14:schemeClr w14:val="tx1"/>
            </w14:solidFill>
          </w14:textFill>
        </w:rPr>
        <w:t>推动区域协调发展：布局经济开发区，扩大对外开放</w:t>
      </w:r>
      <w:bookmarkEnd w:id="56"/>
    </w:p>
    <w:p>
      <w:pPr>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四五”期间，把区域优势互补作为推动高质量发展的空间准则，充分利用辽中南城市群的引领与辐射作用，主动融入沈抚经济一体化发展格局，以抚顺县经济开发区建设为突破口，推动我县参与区域协调发展。积极响应国家“一带一路”</w:t>
      </w:r>
      <w:r>
        <w:rPr>
          <w:rFonts w:hint="eastAsia" w:ascii="仿宋" w:hAnsi="仿宋" w:eastAsia="仿宋"/>
          <w:bCs/>
          <w:color w:val="000000" w:themeColor="text1"/>
          <w:sz w:val="28"/>
          <w:szCs w:val="28"/>
          <w:lang w:eastAsia="zh-CN"/>
          <w14:textFill>
            <w14:solidFill>
              <w14:schemeClr w14:val="tx1"/>
            </w14:solidFill>
          </w14:textFill>
        </w:rPr>
        <w:t>倡议</w:t>
      </w:r>
      <w:r>
        <w:rPr>
          <w:rFonts w:hint="eastAsia" w:ascii="仿宋" w:hAnsi="仿宋" w:eastAsia="仿宋"/>
          <w:bCs/>
          <w:color w:val="000000" w:themeColor="text1"/>
          <w:sz w:val="28"/>
          <w:szCs w:val="28"/>
          <w14:textFill>
            <w14:solidFill>
              <w14:schemeClr w14:val="tx1"/>
            </w14:solidFill>
          </w14:textFill>
        </w:rPr>
        <w:t>，充分利用对口合作契机，全方位扩大对内对外开放。</w:t>
      </w:r>
    </w:p>
    <w:p>
      <w:pPr>
        <w:pStyle w:val="2"/>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——优化开发区空间布局，规划开发区产业发展。</w:t>
      </w:r>
      <w:bookmarkStart w:id="57" w:name="_Hlk52888148"/>
      <w:r>
        <w:rPr>
          <w:rFonts w:hint="eastAsia" w:ascii="仿宋" w:hAnsi="仿宋" w:eastAsia="仿宋"/>
          <w:bCs/>
          <w:color w:val="000000" w:themeColor="text1"/>
          <w:sz w:val="28"/>
          <w:szCs w:val="28"/>
          <w14:textFill>
            <w14:solidFill>
              <w14:schemeClr w14:val="tx1"/>
            </w14:solidFill>
          </w14:textFill>
        </w:rPr>
        <w:t>“十四五”期间，将经济开发区整体建成“一区四园”结构，包括抚顺县经济开发区核心区（石文新兴产业园和再生资源产业园）、救兵木业产业园和海浪应急产业园，实现以石文镇为核心、救兵镇、海浪乡为两翼的复合型产业新区。抚顺县经济开发区核心区以装备制造业和再生资源产业为主，以信息技术产业为辅，打造抚顺县经济新支柱产业。救兵木业产业园以救兵木业小镇为基础，发展以私人订制为切入点的高端木业产业。海浪应急产业园是以消防应急、公共卫生与大健康产业为核心的现代产业园区。新兴产业园区计划在</w:t>
      </w:r>
      <w:r>
        <w:rPr>
          <w:rFonts w:eastAsia="仿宋"/>
          <w:bCs/>
          <w:color w:val="000000" w:themeColor="text1"/>
          <w:sz w:val="28"/>
          <w:szCs w:val="28"/>
          <w14:textFill>
            <w14:solidFill>
              <w14:schemeClr w14:val="tx1"/>
            </w14:solidFill>
          </w14:textFill>
        </w:rPr>
        <w:t>2021</w:t>
      </w:r>
      <w:r>
        <w:rPr>
          <w:rFonts w:hint="eastAsia" w:ascii="仿宋" w:hAnsi="仿宋" w:eastAsia="仿宋"/>
          <w:bCs/>
          <w:color w:val="000000" w:themeColor="text1"/>
          <w:sz w:val="28"/>
          <w:szCs w:val="28"/>
          <w14:textFill>
            <w14:solidFill>
              <w14:schemeClr w14:val="tx1"/>
            </w14:solidFill>
          </w14:textFill>
        </w:rPr>
        <w:t>年底完成基础设施建设，逐步有序引进电机产业、新材料产业等装备制造业落地发展，筹划承接转移部分沈抚新区及抚顺市的信息技术产业，尤其是大数据产业等新基建产业。再生资源产业园计划在</w:t>
      </w:r>
      <w:r>
        <w:rPr>
          <w:rFonts w:eastAsia="仿宋"/>
          <w:bCs/>
          <w:color w:val="000000" w:themeColor="text1"/>
          <w:sz w:val="28"/>
          <w:szCs w:val="28"/>
          <w14:textFill>
            <w14:solidFill>
              <w14:schemeClr w14:val="tx1"/>
            </w14:solidFill>
          </w14:textFill>
        </w:rPr>
        <w:t>2021</w:t>
      </w:r>
      <w:r>
        <w:rPr>
          <w:rFonts w:hint="eastAsia" w:ascii="仿宋" w:hAnsi="仿宋" w:eastAsia="仿宋"/>
          <w:bCs/>
          <w:color w:val="000000" w:themeColor="text1"/>
          <w:sz w:val="28"/>
          <w:szCs w:val="28"/>
          <w14:textFill>
            <w14:solidFill>
              <w14:schemeClr w14:val="tx1"/>
            </w14:solidFill>
          </w14:textFill>
        </w:rPr>
        <w:t>年底完成基础设施建设，以建成“互联网+再生资源”的重大试点工程为目标，在现有危废、固废资源化处理基础上发展以再生资源再制造产业为核心的循环经济产业。借鉴天津子牙产业园发展模式，着力构建“企业小循环—园区中循环—社会大循环”循环模式：建立企业小循环以构建企业内部物质源头减量、过程循环、末端再生为核心；园区中循环以构筑企业间资源梯级利用、产业间物质交换为核心；社会大循环以形成整个社会废物回收、再生利用为核心。救兵木业产业园计划</w:t>
      </w:r>
      <w:r>
        <w:rPr>
          <w:rFonts w:eastAsia="仿宋"/>
          <w:bCs/>
          <w:color w:val="000000" w:themeColor="text1"/>
          <w:sz w:val="28"/>
          <w:szCs w:val="28"/>
          <w14:textFill>
            <w14:solidFill>
              <w14:schemeClr w14:val="tx1"/>
            </w14:solidFill>
          </w14:textFill>
        </w:rPr>
        <w:t>在2025年完成基础设施建设，进一步发展木制品全产业链。海浪应急产业园计划到2025年完成基础设施建设，重点引入和发展应急制造业和应急服务业。力争到2025年，我县经济开发区接近全省中等发展水平，新增企业20户以上，年产值超50亿元，税收超5亿元。</w:t>
      </w:r>
    </w:p>
    <w:bookmarkEnd w:id="57"/>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——推进区域融合，共建“飞地经济”。</w:t>
      </w:r>
      <w:r>
        <w:rPr>
          <w:rFonts w:hint="eastAsia" w:ascii="仿宋" w:hAnsi="仿宋" w:eastAsia="仿宋"/>
          <w:color w:val="000000" w:themeColor="text1"/>
          <w:sz w:val="28"/>
          <w:szCs w:val="36"/>
          <w14:textFill>
            <w14:solidFill>
              <w14:schemeClr w14:val="tx1"/>
            </w14:solidFill>
          </w14:textFill>
        </w:rPr>
        <w:t>“十四五”时期，立足抚顺县，加强与周边城市群，特别是沈抚新区、沈阳市、本溪市、抚顺市的产业合作，引导资源要素向抚顺县聚集，发展飞地经济，形成跨区域融合发展新格局。加强农业对外合作，发展外贸型农业，加快扩展抚顺县农业发展空间;积极融入“一带一路”</w:t>
      </w:r>
      <w:r>
        <w:rPr>
          <w:rFonts w:hint="eastAsia" w:ascii="仿宋" w:hAnsi="仿宋" w:eastAsia="仿宋"/>
          <w:color w:val="000000" w:themeColor="text1"/>
          <w:sz w:val="28"/>
          <w:szCs w:val="36"/>
          <w:lang w:eastAsia="zh-CN"/>
          <w14:textFill>
            <w14:solidFill>
              <w14:schemeClr w14:val="tx1"/>
            </w14:solidFill>
          </w14:textFill>
        </w:rPr>
        <w:t>倡议</w:t>
      </w:r>
      <w:r>
        <w:rPr>
          <w:rFonts w:hint="eastAsia" w:ascii="仿宋" w:hAnsi="仿宋" w:eastAsia="仿宋"/>
          <w:color w:val="000000" w:themeColor="text1"/>
          <w:sz w:val="28"/>
          <w:szCs w:val="36"/>
          <w14:textFill>
            <w14:solidFill>
              <w14:schemeClr w14:val="tx1"/>
            </w14:solidFill>
          </w14:textFill>
        </w:rPr>
        <w:t>，利用建设东北亚经济圈和构建“沈阳经济圈”有利时机，创建农业合作试验区；大力提升飞地工业园区建设，规划建设配套服务设施，进一步激活飞地工业园区发展潜力；加强招商引资，确保每个乡镇在“十四五”时期每年至少引</w:t>
      </w:r>
      <w:r>
        <w:rPr>
          <w:rFonts w:eastAsia="仿宋"/>
          <w:color w:val="000000" w:themeColor="text1"/>
          <w:sz w:val="28"/>
          <w:szCs w:val="36"/>
          <w14:textFill>
            <w14:solidFill>
              <w14:schemeClr w14:val="tx1"/>
            </w14:solidFill>
          </w14:textFill>
        </w:rPr>
        <w:t>入1个</w:t>
      </w:r>
      <w:r>
        <w:rPr>
          <w:rFonts w:hint="eastAsia" w:eastAsia="仿宋"/>
          <w:color w:val="000000" w:themeColor="text1"/>
          <w:sz w:val="28"/>
          <w:szCs w:val="36"/>
          <w14:textFill>
            <w14:solidFill>
              <w14:schemeClr w14:val="tx1"/>
            </w14:solidFill>
          </w14:textFill>
        </w:rPr>
        <w:t>“</w:t>
      </w:r>
      <w:r>
        <w:rPr>
          <w:rFonts w:eastAsia="仿宋"/>
          <w:color w:val="000000" w:themeColor="text1"/>
          <w:sz w:val="28"/>
          <w:szCs w:val="36"/>
          <w14:textFill>
            <w14:solidFill>
              <w14:schemeClr w14:val="tx1"/>
            </w14:solidFill>
          </w14:textFill>
        </w:rPr>
        <w:t>飞</w:t>
      </w:r>
      <w:r>
        <w:rPr>
          <w:rFonts w:hint="eastAsia" w:ascii="仿宋" w:hAnsi="仿宋" w:eastAsia="仿宋"/>
          <w:color w:val="000000" w:themeColor="text1"/>
          <w:sz w:val="28"/>
          <w:szCs w:val="36"/>
          <w14:textFill>
            <w14:solidFill>
              <w14:schemeClr w14:val="tx1"/>
            </w14:solidFill>
          </w14:textFill>
        </w:rPr>
        <w:t>地项目”，并大力引进龙头企业落户园区；加大力度做好土地收储工作，确保园区不受土地要素制约，同时也为“飞地”项目拓展承载空间；围绕产业集群的培育，通过大力发展“飞地工业”推进省内区域间的产业转移，扶助企业快速成长壮大，促进产业集群转型升级，助推我县融入沈抚本经济圈联动发展。</w:t>
      </w:r>
    </w:p>
    <w:p>
      <w:pPr>
        <w:spacing w:line="360" w:lineRule="auto"/>
        <w:ind w:firstLine="562"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——全面扩大对外开放，</w:t>
      </w:r>
      <w:r>
        <w:rPr>
          <w:rFonts w:hint="eastAsia" w:ascii="仿宋" w:hAnsi="仿宋" w:eastAsia="仿宋" w:cs="楷体"/>
          <w:b/>
          <w:bCs/>
          <w:color w:val="000000" w:themeColor="text1"/>
          <w:sz w:val="28"/>
          <w:szCs w:val="28"/>
          <w14:textFill>
            <w14:solidFill>
              <w14:schemeClr w14:val="tx1"/>
            </w14:solidFill>
          </w14:textFill>
        </w:rPr>
        <w:t>促进地区对口合作。</w:t>
      </w:r>
      <w:r>
        <w:rPr>
          <w:rFonts w:hint="eastAsia" w:ascii="仿宋" w:hAnsi="仿宋" w:eastAsia="仿宋" w:cs="仿宋"/>
          <w:bCs/>
          <w:color w:val="000000" w:themeColor="text1"/>
          <w:sz w:val="28"/>
          <w:szCs w:val="28"/>
          <w14:textFill>
            <w14:solidFill>
              <w14:schemeClr w14:val="tx1"/>
            </w14:solidFill>
          </w14:textFill>
        </w:rPr>
        <w:t>全面加大开放力度，积极地融入国家“一带一路”发展战略。以参与京津冀、珠三角、长三角、粤港澳地区协同发展为依托，开展产业对接互补、园区共建等合作。积极承接沈阳经济区的产业外向转移，开展产业配套服务与错位发展。</w:t>
      </w:r>
      <w:r>
        <w:rPr>
          <w:rFonts w:hint="eastAsia" w:ascii="仿宋" w:hAnsi="仿宋" w:eastAsia="仿宋" w:cs="仿宋"/>
          <w:color w:val="000000" w:themeColor="text1"/>
          <w:sz w:val="28"/>
          <w:szCs w:val="28"/>
          <w14:textFill>
            <w14:solidFill>
              <w14:schemeClr w14:val="tx1"/>
            </w14:solidFill>
          </w14:textFill>
        </w:rPr>
        <w:t>以抚顺县与徐州市丰县对口合作为契机，继续推进区域间对接合作步伐。积极推进落实两县对口合作项目，既要实现借“东风”，加强在硬件基础设施上的合作；也要实现引“活水”，通过先进经验交流、干部互派等方式促进全县干部解放思想、转变观念、激发干事创业热情。</w:t>
      </w:r>
    </w:p>
    <w:p>
      <w:pPr>
        <w:pStyle w:val="4"/>
        <w:spacing w:line="360" w:lineRule="auto"/>
        <w:ind w:firstLine="0" w:firstLineChars="0"/>
        <w:jc w:val="center"/>
        <w:rPr>
          <w:color w:val="000000" w:themeColor="text1"/>
          <w14:textFill>
            <w14:solidFill>
              <w14:schemeClr w14:val="tx1"/>
            </w14:solidFill>
          </w14:textFill>
        </w:rPr>
      </w:pPr>
      <w:bookmarkStart w:id="58" w:name="_Toc53698375"/>
      <w:r>
        <w:rPr>
          <w:rFonts w:hint="eastAsia"/>
          <w:color w:val="000000" w:themeColor="text1"/>
          <w14:textFill>
            <w14:solidFill>
              <w14:schemeClr w14:val="tx1"/>
            </w14:solidFill>
          </w14:textFill>
        </w:rPr>
        <w:t>第六节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巩固绿色发展优势：坚持生态立县，加强环境保护</w:t>
      </w:r>
      <w:bookmarkEnd w:id="58"/>
    </w:p>
    <w:p>
      <w:pPr>
        <w:widowControl/>
        <w:spacing w:line="360" w:lineRule="auto"/>
        <w:ind w:firstLine="560" w:firstLineChars="200"/>
        <w:textAlignment w:val="baseline"/>
        <w:rPr>
          <w:rFonts w:ascii="仿宋" w:hAnsi="仿宋" w:eastAsia="仿宋" w:cs="仿宋"/>
          <w:color w:val="000000" w:themeColor="text1"/>
          <w:sz w:val="28"/>
          <w:szCs w:val="28"/>
          <w14:textFill>
            <w14:solidFill>
              <w14:schemeClr w14:val="tx1"/>
            </w14:solidFill>
          </w14:textFill>
        </w:rPr>
      </w:pPr>
      <w:r>
        <w:rPr>
          <w:rStyle w:val="41"/>
          <w:rFonts w:hint="eastAsia" w:ascii="仿宋" w:hAnsi="仿宋" w:eastAsia="仿宋" w:cs="仿宋"/>
          <w:color w:val="000000" w:themeColor="text1"/>
          <w:sz w:val="28"/>
          <w:szCs w:val="28"/>
          <w14:textFill>
            <w14:solidFill>
              <w14:schemeClr w14:val="tx1"/>
            </w14:solidFill>
          </w14:textFill>
        </w:rPr>
        <w:t>将绿色转型作为推动高质量发展的重要途经，牢固树立绿水青山就是金山银山发展理念，坚持生态优先原则，推荐绿色发展、循环发展和低碳发展，打造青山、碧水、蓝天、净土的高品质生活环境，协同推进经济高质量发展和生态环境高水平保护。在“十四五”时期，抚顺县通过整合多方资源，切实强化工作举措，扎实推动环境整治工作早部署、早行动、早见效。</w:t>
      </w:r>
    </w:p>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——推进水源地保护建设，发展国家级湿地公园。</w:t>
      </w:r>
      <w:r>
        <w:rPr>
          <w:rFonts w:hint="eastAsia" w:ascii="仿宋" w:hAnsi="仿宋" w:eastAsia="仿宋"/>
          <w:color w:val="000000" w:themeColor="text1"/>
          <w:sz w:val="28"/>
          <w:szCs w:val="36"/>
          <w14:textFill>
            <w14:solidFill>
              <w14:schemeClr w14:val="tx1"/>
            </w14:solidFill>
          </w14:textFill>
        </w:rPr>
        <w:t>按照国家和省规划控制要求，结合国家级生态县建设规划，</w:t>
      </w:r>
      <w:r>
        <w:rPr>
          <w:rFonts w:ascii="仿宋" w:hAnsi="仿宋" w:eastAsia="仿宋"/>
          <w:color w:val="000000" w:themeColor="text1"/>
          <w:sz w:val="28"/>
          <w:szCs w:val="32"/>
          <w14:textFill>
            <w14:solidFill>
              <w14:schemeClr w14:val="tx1"/>
            </w14:solidFill>
          </w14:textFill>
        </w:rPr>
        <w:t>践行</w:t>
      </w:r>
      <w:r>
        <w:rPr>
          <w:rFonts w:hint="eastAsia" w:ascii="仿宋" w:hAnsi="仿宋" w:eastAsia="仿宋"/>
          <w:color w:val="000000" w:themeColor="text1"/>
          <w:sz w:val="28"/>
          <w:szCs w:val="32"/>
          <w14:textFill>
            <w14:solidFill>
              <w14:schemeClr w14:val="tx1"/>
            </w14:solidFill>
          </w14:textFill>
        </w:rPr>
        <w:t>“</w:t>
      </w:r>
      <w:r>
        <w:rPr>
          <w:rFonts w:ascii="仿宋" w:hAnsi="仿宋" w:eastAsia="仿宋"/>
          <w:color w:val="000000" w:themeColor="text1"/>
          <w:sz w:val="28"/>
          <w:szCs w:val="32"/>
          <w14:textFill>
            <w14:solidFill>
              <w14:schemeClr w14:val="tx1"/>
            </w14:solidFill>
          </w14:textFill>
        </w:rPr>
        <w:t>绿水青山就是金山银山</w:t>
      </w:r>
      <w:r>
        <w:rPr>
          <w:rFonts w:hint="eastAsia" w:ascii="仿宋" w:hAnsi="仿宋" w:eastAsia="仿宋"/>
          <w:color w:val="000000" w:themeColor="text1"/>
          <w:sz w:val="28"/>
          <w:szCs w:val="32"/>
          <w14:textFill>
            <w14:solidFill>
              <w14:schemeClr w14:val="tx1"/>
            </w14:solidFill>
          </w14:textFill>
        </w:rPr>
        <w:t>”</w:t>
      </w:r>
      <w:r>
        <w:rPr>
          <w:rFonts w:ascii="仿宋" w:hAnsi="仿宋" w:eastAsia="仿宋"/>
          <w:color w:val="000000" w:themeColor="text1"/>
          <w:sz w:val="28"/>
          <w:szCs w:val="32"/>
          <w14:textFill>
            <w14:solidFill>
              <w14:schemeClr w14:val="tx1"/>
            </w14:solidFill>
          </w14:textFill>
        </w:rPr>
        <w:t>的理念，坚持源头严防、过程严管、后果严惩，完善环保工作责任体系，</w:t>
      </w:r>
      <w:r>
        <w:rPr>
          <w:rFonts w:ascii="仿宋" w:hAnsi="仿宋" w:eastAsia="仿宋"/>
          <w:color w:val="000000" w:themeColor="text1"/>
          <w:kern w:val="0"/>
          <w:sz w:val="28"/>
          <w:szCs w:val="28"/>
          <w14:textFill>
            <w14:solidFill>
              <w14:schemeClr w14:val="tx1"/>
            </w14:solidFill>
          </w14:textFill>
        </w:rPr>
        <w:t>扎实推进</w:t>
      </w:r>
      <w:r>
        <w:rPr>
          <w:rFonts w:ascii="仿宋" w:hAnsi="仿宋" w:eastAsia="仿宋"/>
          <w:color w:val="000000" w:themeColor="text1"/>
          <w:sz w:val="28"/>
          <w:szCs w:val="32"/>
          <w14:textFill>
            <w14:solidFill>
              <w14:schemeClr w14:val="tx1"/>
            </w14:solidFill>
          </w14:textFill>
        </w:rPr>
        <w:t>大伙房水源二级保护区</w:t>
      </w:r>
      <w:r>
        <w:rPr>
          <w:rFonts w:hint="eastAsia" w:ascii="仿宋" w:hAnsi="仿宋" w:eastAsia="仿宋"/>
          <w:color w:val="000000" w:themeColor="text1"/>
          <w:sz w:val="28"/>
          <w:szCs w:val="32"/>
          <w14:textFill>
            <w14:solidFill>
              <w14:schemeClr w14:val="tx1"/>
            </w14:solidFill>
          </w14:textFill>
        </w:rPr>
        <w:t>内</w:t>
      </w:r>
      <w:r>
        <w:rPr>
          <w:rFonts w:ascii="仿宋" w:hAnsi="仿宋" w:eastAsia="仿宋"/>
          <w:color w:val="000000" w:themeColor="text1"/>
          <w:sz w:val="28"/>
          <w:szCs w:val="32"/>
          <w14:textFill>
            <w14:solidFill>
              <w14:schemeClr w14:val="tx1"/>
            </w14:solidFill>
          </w14:textFill>
        </w:rPr>
        <w:t>企业和养殖户（场）搬迁，打</w:t>
      </w:r>
      <w:r>
        <w:rPr>
          <w:rFonts w:ascii="仿宋" w:hAnsi="仿宋" w:eastAsia="仿宋"/>
          <w:color w:val="000000" w:themeColor="text1"/>
          <w:kern w:val="0"/>
          <w:sz w:val="28"/>
          <w:szCs w:val="28"/>
          <w14:textFill>
            <w14:solidFill>
              <w14:schemeClr w14:val="tx1"/>
            </w14:solidFill>
          </w14:textFill>
        </w:rPr>
        <w:t>好污染防治攻坚战</w:t>
      </w:r>
      <w:r>
        <w:rPr>
          <w:rFonts w:hint="eastAsia" w:ascii="仿宋" w:hAnsi="仿宋" w:eastAsia="仿宋"/>
          <w:color w:val="000000" w:themeColor="text1"/>
          <w:sz w:val="28"/>
          <w:szCs w:val="32"/>
          <w14:textFill>
            <w14:solidFill>
              <w14:schemeClr w14:val="tx1"/>
            </w14:solidFill>
          </w14:textFill>
        </w:rPr>
        <w:t>，</w:t>
      </w:r>
      <w:r>
        <w:rPr>
          <w:rFonts w:hint="eastAsia" w:ascii="仿宋" w:hAnsi="仿宋" w:eastAsia="仿宋"/>
          <w:color w:val="000000" w:themeColor="text1"/>
          <w:sz w:val="28"/>
          <w:szCs w:val="36"/>
          <w14:textFill>
            <w14:solidFill>
              <w14:schemeClr w14:val="tx1"/>
            </w14:solidFill>
          </w14:textFill>
        </w:rPr>
        <w:t>保护区内农民年人均收入居全省中上游水平。推进辽宁社河国家湿地公园建设，加强湿地保育和保护管理基础能力建设以及必要的基础设施建设，完善各种规章制度，开展生态保育和监测工作。继续开展部分河道与植被的修复工作，重点建设湿地水资源、动植物资源生态保护的屏障。开展生态景观打造与生态旅游设施及服务设施建设，完善生态旅游及旅游服务设施、交通工具、基础设施；促进湿地公园的可持续发展，将社河湿地建成湿地功能完备、自然生态良好、旅游特色鲜明、开发利用高效的国家湿地公园。</w:t>
      </w:r>
    </w:p>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——加快林业生态建设，提升水利工程建设。</w:t>
      </w:r>
      <w:r>
        <w:rPr>
          <w:rFonts w:hint="eastAsia" w:ascii="仿宋" w:hAnsi="仿宋" w:eastAsia="仿宋"/>
          <w:color w:val="000000" w:themeColor="text1"/>
          <w:sz w:val="28"/>
          <w:szCs w:val="36"/>
          <w14:textFill>
            <w14:solidFill>
              <w14:schemeClr w14:val="tx1"/>
            </w14:solidFill>
          </w14:textFill>
        </w:rPr>
        <w:t>“十四五”期间，加快提升林业生态修复建设，重点加强植树造林、退耕还林、环城林带建设、村屯绿化、国家储备林建设；加快森林资源管护，重点加强林地保护利用、生态公益林和天然林保护、野生动植物保护和疫源疫病监测、自然保护地保护与建设、林业有害生物防治、森林防火工作；加快林业产业发展，重点加强经济林和林下经济建设、苗木花卉基地建设、林产品加工业、森林旅游业建设；加快林业生态文化建设，重点加强国家森林乡村创建、古树名木保护；加快推进林业改革，重点推进国有林场改革和集体林权制度改革。加快提升水利工程建设，重点加强中小河流综合治理、病险水闸除险加固工程、农村水利工程建设、重点地区水土流失治理、河段生态修复工程、深化河长制工作、重要饮用水水源地安全保障达标建设、防汛抗旱减灾信息化建设。</w:t>
      </w:r>
    </w:p>
    <w:p>
      <w:pPr>
        <w:pStyle w:val="2"/>
        <w:ind w:firstLine="562" w:firstLineChars="200"/>
        <w:rPr>
          <w:color w:val="000000" w:themeColor="text1"/>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——加强矿山综合整治，加大环境监管力度。</w:t>
      </w:r>
      <w:r>
        <w:rPr>
          <w:rFonts w:hint="eastAsia" w:ascii="仿宋" w:hAnsi="仿宋" w:eastAsia="仿宋"/>
          <w:color w:val="000000" w:themeColor="text1"/>
          <w:sz w:val="28"/>
          <w:szCs w:val="36"/>
          <w14:textFill>
            <w14:solidFill>
              <w14:schemeClr w14:val="tx1"/>
            </w14:solidFill>
          </w14:textFill>
        </w:rPr>
        <w:t>要结合矿山治理整顿，严厉打击毁林开矿，加快资源枯竭矿山的植被恢复，完成闭坑矿山生态治理。强化生态环境宣传教育，提高全社会生态环境意识。坚持生态保护与建设并举，污染防治与环境综合整治并重。坚持“环评”和“三同时”制度，取缔非法生产企业，新老污染源实现达标排放和实施总量控制</w:t>
      </w:r>
      <w:r>
        <w:rPr>
          <w:rFonts w:hint="eastAsia"/>
          <w:color w:val="000000" w:themeColor="text1"/>
          <w14:textFill>
            <w14:solidFill>
              <w14:schemeClr w14:val="tx1"/>
            </w14:solidFill>
          </w14:textFill>
        </w:rPr>
        <w:t>。</w:t>
      </w:r>
      <w:r>
        <w:rPr>
          <w:rFonts w:hint="eastAsia" w:ascii="仿宋" w:hAnsi="仿宋" w:eastAsia="仿宋"/>
          <w:color w:val="000000" w:themeColor="text1"/>
          <w:sz w:val="28"/>
          <w:szCs w:val="36"/>
          <w14:textFill>
            <w14:solidFill>
              <w14:schemeClr w14:val="tx1"/>
            </w14:solidFill>
          </w14:textFill>
        </w:rPr>
        <w:t>大力推广节能与绿色标志产品、低碳建筑，形成节约资源和保护环境的生活方式和消费模式。</w:t>
      </w:r>
    </w:p>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——推进新能源建设，大力发展循环经济。</w:t>
      </w:r>
      <w:r>
        <w:rPr>
          <w:rFonts w:hint="eastAsia" w:ascii="仿宋" w:hAnsi="仿宋" w:eastAsia="仿宋"/>
          <w:color w:val="000000" w:themeColor="text1"/>
          <w:sz w:val="28"/>
          <w:szCs w:val="36"/>
          <w14:textFill>
            <w14:solidFill>
              <w14:schemeClr w14:val="tx1"/>
            </w14:solidFill>
          </w14:textFill>
        </w:rPr>
        <w:t>发展生物质产业，积极引导生物质发电向生物质热电联产和生物质能供热方向转变。“十四五”期间，进一步推进县城扩建生物质发电现有机组，县城供热普及率达到</w:t>
      </w:r>
      <w:r>
        <w:rPr>
          <w:rFonts w:eastAsia="仿宋"/>
          <w:color w:val="000000" w:themeColor="text1"/>
          <w:sz w:val="28"/>
          <w:szCs w:val="36"/>
          <w14:textFill>
            <w14:solidFill>
              <w14:schemeClr w14:val="tx1"/>
            </w14:solidFill>
          </w14:textFill>
        </w:rPr>
        <w:t>100%，集中供热普及率达到97%</w:t>
      </w:r>
      <w:r>
        <w:rPr>
          <w:rFonts w:hint="eastAsia" w:ascii="仿宋" w:hAnsi="仿宋" w:eastAsia="仿宋"/>
          <w:color w:val="000000" w:themeColor="text1"/>
          <w:sz w:val="28"/>
          <w:szCs w:val="36"/>
          <w14:textFill>
            <w14:solidFill>
              <w14:schemeClr w14:val="tx1"/>
            </w14:solidFill>
          </w14:textFill>
        </w:rPr>
        <w:t>。建设救兵镇天和生物项目二期工程。依托抚顺县风力资源的区位优势，重点支持金风科技建设风力发电风车项目，在海浪乡、石文镇、救兵镇、上马镇、后安镇分两期建设装机总容量</w:t>
      </w:r>
      <w:r>
        <w:rPr>
          <w:rFonts w:eastAsia="仿宋"/>
          <w:color w:val="000000" w:themeColor="text1"/>
          <w:sz w:val="28"/>
          <w:szCs w:val="36"/>
          <w14:textFill>
            <w14:solidFill>
              <w14:schemeClr w14:val="tx1"/>
            </w14:solidFill>
          </w14:textFill>
        </w:rPr>
        <w:t>200MW</w:t>
      </w:r>
      <w:r>
        <w:rPr>
          <w:rFonts w:hint="eastAsia" w:ascii="仿宋" w:hAnsi="仿宋" w:eastAsia="仿宋"/>
          <w:color w:val="000000" w:themeColor="text1"/>
          <w:sz w:val="28"/>
          <w:szCs w:val="36"/>
          <w14:textFill>
            <w14:solidFill>
              <w14:schemeClr w14:val="tx1"/>
            </w14:solidFill>
          </w14:textFill>
        </w:rPr>
        <w:t>平价上网风力发电场项目。大力推进农村沼气建设，因地制宜发展秸秆气化、小水电代燃料等新型洁净能源和可再生能源。大力发展循环经济，最大限度提高资源、资产产出率和利用率，严格限制高耗资源和能源项目，抓好副产品和废弃物的深加工。在农业领域，推动农业生产资源利用节约化、生产过程清洁化、废物处理资源化和无害化、产业链接循环化。在工业领域，推行“源头减量、过程控制、纵向延伸、横向耦合、末端再生”的绿色生产方式。在重点行业推广循环经济模式，重点强化以沼气综合开发利用和秸秆气化工程为主的能源建设。在服务业领域，大力发展电子商务、文化、健康、养老、金融服务等低消耗低污染的服务业。</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专栏7</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时期生态建设重点项目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森林抚育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总投资0.06亿元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林业有害生物防治</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总投资0.12亿元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林业有害生物监测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村屯绿化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总投资0.225亿元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经济林开发、林下开发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总投资0.8亿元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森林资源监测系统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总投资0.2亿元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地方森林消防队伍建设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总投资0.2亿元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辽宁抚顺社河国家湿地公园保护项目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总投资0.8亿元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9.</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全县湿地建设项目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总投资0.375亿元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10.</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储备林建设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总投资0.05亿元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11.</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苗圃基地建设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抚顺县国土绿化及生态修复治理工程建设项目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总投资2.99亿元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13.</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抚顺县主要河流环境综合整治与生态修复项目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总投资1.94亿元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14.</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抚顺县板城河重点山洪沟治理工程项目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总投资0.12亿元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15.</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社河（腰堡水库至大伙房水库入河口段）河道治理工程项目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总投资0.29亿元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16.</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北沙河（前楼村至松树村）河道治理工程项目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总投资0.2亿元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17.</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农村饮水安全巩固提升工程项目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总投资0.65亿元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枢纽水源工程项目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总投资0.16亿元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19.</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大伙房水库上游生态恢复治理工程一期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总投资0.93亿元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大伙房水库上游生态恢复治理工程二期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总投资0.96亿元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续专栏7</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时期生态建设重点项目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腰堡中型灌区续建配套与现代化改造项目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总投资0.12亿元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病险水闸除险加固工程项目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总投资1.311亿元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23.</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水库更新改造项目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总投资0.24亿元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24.</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大伙房水库上游尾矿库污染治理项目  总投资0.3亿元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三块石自然保护地建设项目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总投资0.237亿元</w:t>
            </w:r>
            <w:r>
              <w:rPr>
                <w:rFonts w:ascii="仿宋" w:hAnsi="仿宋" w:eastAsia="仿宋"/>
                <w:color w:val="000000" w:themeColor="text1"/>
                <w14:textFill>
                  <w14:solidFill>
                    <w14:schemeClr w14:val="tx1"/>
                  </w14:solidFill>
                </w14:textFill>
              </w:rPr>
              <w:t xml:space="preserve"> </w:t>
            </w:r>
          </w:p>
        </w:tc>
      </w:tr>
    </w:tbl>
    <w:p>
      <w:pPr>
        <w:pStyle w:val="2"/>
      </w:pPr>
    </w:p>
    <w:p>
      <w:pPr>
        <w:pStyle w:val="4"/>
        <w:spacing w:line="360" w:lineRule="auto"/>
        <w:ind w:firstLine="0" w:firstLineChars="0"/>
        <w:jc w:val="center"/>
        <w:rPr>
          <w:color w:val="000000" w:themeColor="text1"/>
          <w14:textFill>
            <w14:solidFill>
              <w14:schemeClr w14:val="tx1"/>
            </w14:solidFill>
          </w14:textFill>
        </w:rPr>
      </w:pPr>
      <w:bookmarkStart w:id="59" w:name="_Toc53698376"/>
      <w:r>
        <w:rPr>
          <w:rFonts w:hint="eastAsia"/>
          <w:color w:val="000000" w:themeColor="text1"/>
          <w14:textFill>
            <w14:solidFill>
              <w14:schemeClr w14:val="tx1"/>
            </w14:solidFill>
          </w14:textFill>
        </w:rPr>
        <w:t xml:space="preserve">第七节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创新社会治理体制：完善民主法制，提升治理能力</w:t>
      </w:r>
      <w:bookmarkEnd w:id="59"/>
    </w:p>
    <w:p>
      <w:pPr>
        <w:widowControl/>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结合抚顺县实际，以习近平新时代中国特色社会主义思想为指导，全面贯彻党的十九大和十九届二中、三中、四中全会精神，把党的领导落实到县域治理各领域各方面各环节，更好发挥党总揽全局、协调各方的领导核心作用。坚持把治理体系和治理能力建设作为主攻方向，坚持把保障和改善农村民生、促进农村和谐稳定作为根本目的，坚持全面从严治党，强化治理能力保障。统筹好改革、发展、稳定三者关系，抓好发展和稳定两件大事，健全高质量发展制度体系和社会治理体系。</w:t>
      </w:r>
    </w:p>
    <w:p>
      <w:pPr>
        <w:widowControl/>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——坚持党组织领导，建设基层治理体系。</w:t>
      </w:r>
      <w:r>
        <w:rPr>
          <w:rFonts w:hint="eastAsia" w:ascii="仿宋" w:hAnsi="仿宋" w:eastAsia="仿宋" w:cs="仿宋"/>
          <w:color w:val="000000" w:themeColor="text1"/>
          <w:kern w:val="0"/>
          <w:sz w:val="28"/>
          <w:szCs w:val="28"/>
          <w14:textFill>
            <w14:solidFill>
              <w14:schemeClr w14:val="tx1"/>
            </w14:solidFill>
          </w14:textFill>
        </w:rPr>
        <w:t>创新社会治理共同体建设载体机制，发挥群团组织、自治组织、社会组织和县域企业等在社会治理中的积极作用，完善群众参与基层社会治理的制度化渠道，拓展制度化渠道和方式，在基层打造新型治理共同体，实现人人有责、人人尽责、人人享有。构建抚顺县特色的基层治理机制，完善乡镇综治中心基层治理平台统筹功能，构建县乡一体、抓条统块的基层管理模式，建立部门职责事务下沉到乡镇、到村、到网格的三个准入制度。拓展村民参与村级公共事务平台，发展壮大治保会等群防群治力量，充分发挥村民委员会、群防群治力量在公共事务和公益事业办理、民间纠纷调解、治安维护协助、社情民意通达等方面的作用。</w:t>
      </w:r>
    </w:p>
    <w:p>
      <w:pPr>
        <w:widowControl/>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——践行“枫桥经验”，提升为民服务水平。</w:t>
      </w:r>
      <w:r>
        <w:rPr>
          <w:rFonts w:hint="eastAsia" w:ascii="仿宋" w:hAnsi="仿宋" w:eastAsia="仿宋" w:cs="仿宋"/>
          <w:color w:val="000000" w:themeColor="text1"/>
          <w:kern w:val="0"/>
          <w:sz w:val="28"/>
          <w:szCs w:val="28"/>
          <w14:textFill>
            <w14:solidFill>
              <w14:schemeClr w14:val="tx1"/>
            </w14:solidFill>
          </w14:textFill>
        </w:rPr>
        <w:t>完善为民办实事长效机制，推进社会治理领域“最多跑一地”，打造一站式服务、就地解决矛盾纠纷的社会矛盾纠纷调处化解中心，完善社会矛盾纠纷多元预防调处化解综合机制，实现矛盾纠纷化解“最多跑一地”。畅通和规范群众诉求表达、利益协调、权益保障通道，完善信访制度，完善人民调解、行政调解、司法调解联动工作体系，完善调解、仲裁、行政裁决、行政复议、诉讼等有机衔接、相互协调的多元化纠纷解决机制，努力将矛盾化解在基层。发挥信息化支撑作用，探索建立“互联网+网格管理”服务管理模式，提升治理智能化、精细化、专业化水平。强化信息资源互联互通，完善信息收集、处置、反馈工作机制和联动机制。健全社会心理服务体系和危机干预机制，广泛开展平安教育和社会心理健康服务、婚姻家庭指导服务。</w:t>
      </w:r>
    </w:p>
    <w:p>
      <w:pPr>
        <w:widowControl/>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bookmarkStart w:id="60" w:name="_Toc422214648"/>
      <w:bookmarkStart w:id="61" w:name="_Toc422313982"/>
      <w:bookmarkStart w:id="62" w:name="_Toc420327875"/>
      <w:bookmarkStart w:id="63" w:name="_Toc422311273"/>
      <w:r>
        <w:rPr>
          <w:rFonts w:hint="eastAsia" w:ascii="仿宋" w:hAnsi="仿宋" w:eastAsia="仿宋" w:cs="仿宋"/>
          <w:b/>
          <w:color w:val="000000" w:themeColor="text1"/>
          <w:kern w:val="0"/>
          <w:sz w:val="28"/>
          <w:szCs w:val="28"/>
          <w14:textFill>
            <w14:solidFill>
              <w14:schemeClr w14:val="tx1"/>
            </w14:solidFill>
          </w14:textFill>
        </w:rPr>
        <w:t>——探索治理新模式，推进治理现代化。</w:t>
      </w:r>
      <w:bookmarkEnd w:id="60"/>
      <w:bookmarkEnd w:id="61"/>
      <w:bookmarkEnd w:id="62"/>
      <w:bookmarkEnd w:id="63"/>
      <w:r>
        <w:rPr>
          <w:rFonts w:hint="eastAsia" w:ascii="仿宋" w:hAnsi="仿宋" w:eastAsia="仿宋" w:cs="仿宋"/>
          <w:bCs/>
          <w:color w:val="000000" w:themeColor="text1"/>
          <w:kern w:val="0"/>
          <w:sz w:val="28"/>
          <w:szCs w:val="28"/>
          <w14:textFill>
            <w14:solidFill>
              <w14:schemeClr w14:val="tx1"/>
            </w14:solidFill>
          </w14:textFill>
        </w:rPr>
        <w:t>着眼于落实国家治理体系和治理能力</w:t>
      </w:r>
      <w:r>
        <w:rPr>
          <w:rFonts w:hint="eastAsia" w:ascii="仿宋" w:hAnsi="仿宋" w:eastAsia="仿宋" w:cs="仿宋"/>
          <w:color w:val="000000" w:themeColor="text1"/>
          <w:kern w:val="0"/>
          <w:sz w:val="28"/>
          <w:szCs w:val="28"/>
          <w14:textFill>
            <w14:solidFill>
              <w14:schemeClr w14:val="tx1"/>
            </w14:solidFill>
          </w14:textFill>
        </w:rPr>
        <w:t>现代化的新要求，回应全县人民的新期盼，充分发挥乡镇服务农村和农民的作用，加强乡镇政府公共服务职能，加大乡镇基本公共服务投入，使乡镇成为为农服务的龙头。把社会治理综合指挥服务中心建设作为创建社会治理现代化突破口，</w:t>
      </w:r>
      <w:r>
        <w:rPr>
          <w:rFonts w:hint="eastAsia" w:ascii="仿宋" w:hAnsi="仿宋" w:eastAsia="仿宋" w:cs="仿宋"/>
          <w:bCs/>
          <w:color w:val="000000" w:themeColor="text1"/>
          <w:kern w:val="0"/>
          <w:sz w:val="28"/>
          <w:szCs w:val="28"/>
          <w14:textFill>
            <w14:solidFill>
              <w14:schemeClr w14:val="tx1"/>
            </w14:solidFill>
          </w14:textFill>
        </w:rPr>
        <w:t>建设“纵向到底、横向到边”的社会治理现代化体系，</w:t>
      </w:r>
      <w:r>
        <w:rPr>
          <w:rFonts w:hint="eastAsia" w:ascii="仿宋" w:hAnsi="仿宋" w:eastAsia="仿宋" w:cs="仿宋"/>
          <w:color w:val="000000" w:themeColor="text1"/>
          <w:kern w:val="0"/>
          <w:sz w:val="28"/>
          <w:szCs w:val="28"/>
          <w14:textFill>
            <w14:solidFill>
              <w14:schemeClr w14:val="tx1"/>
            </w14:solidFill>
          </w14:textFill>
        </w:rPr>
        <w:t>推进县、乡镇两级综治指挥中心与村、网格的互联互通互动，全面提升社会治理科学化、精细化、智能化水平。</w:t>
      </w:r>
    </w:p>
    <w:p>
      <w:pPr>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加强安全生产管理，</w:t>
      </w:r>
      <w:r>
        <w:rPr>
          <w:rFonts w:hint="eastAsia" w:ascii="仿宋" w:hAnsi="仿宋" w:eastAsia="仿宋" w:cs="仿宋"/>
          <w:b/>
          <w:bCs/>
          <w:color w:val="000000" w:themeColor="text1"/>
          <w:kern w:val="0"/>
          <w:sz w:val="28"/>
          <w:szCs w:val="28"/>
          <w14:textFill>
            <w14:solidFill>
              <w14:schemeClr w14:val="tx1"/>
            </w14:solidFill>
          </w14:textFill>
        </w:rPr>
        <w:t>强化社会治安防控。</w:t>
      </w:r>
      <w:r>
        <w:rPr>
          <w:rFonts w:hint="eastAsia" w:ascii="仿宋" w:hAnsi="仿宋" w:eastAsia="仿宋"/>
          <w:color w:val="000000" w:themeColor="text1"/>
          <w:sz w:val="28"/>
          <w:szCs w:val="28"/>
          <w14:textFill>
            <w14:solidFill>
              <w14:schemeClr w14:val="tx1"/>
            </w14:solidFill>
          </w14:textFill>
        </w:rPr>
        <w:t>建设安全生产行政审批“一库四平台”（行政审批项目库，网上审批运行平台、政务公开服务平台、法制监督平台、电子监察平台）和安全生产诚信系统；建设全县安全生产信息大数据平台，推动矿山、危险化学品等重点行业领域企业建设安全生产数据采集上报与信息管理系统，改造升级在线监测监控系统；加强应急管理体系建设，建设全县应急综合指挥管理平台。维护全县社会政治大局稳定，</w:t>
      </w:r>
      <w:r>
        <w:rPr>
          <w:rFonts w:hint="eastAsia" w:ascii="仿宋" w:hAnsi="仿宋" w:eastAsia="仿宋" w:cs="仿宋"/>
          <w:color w:val="000000" w:themeColor="text1"/>
          <w:kern w:val="0"/>
          <w:sz w:val="28"/>
          <w:szCs w:val="28"/>
          <w14:textFill>
            <w14:solidFill>
              <w14:schemeClr w14:val="tx1"/>
            </w14:solidFill>
          </w14:textFill>
        </w:rPr>
        <w:t>健全点线面结合、网上网下结合、人防物防技防结合、打防管控结合的立体化社会治安防控体系建设，全面推进平安抚顺县建设。深入推进扫黑除恶专项斗争，健全防范打击长效机制。加强农民群众拒毒防毒宣传教育，依法打击整治毒品违法犯罪活动。依法加大对农村非法宗教活动、邪教活动打击力度，制止利用宗教、邪教干预农村公共事务，大力整治农村乱建宗教活动场所、滥塑宗教造像。加强全县公共消防安全基础设施建设，新建除救兵镇以外的七个乡镇小型消防站；建设新的市政消火栓和消防水鹤，结合我县水库、河流分布情况，新建消防取水码头；完善消防车、灭火器、救援器材、抗洪器材等消防装备。推进多种形式消防队伍建设，逐步建立“政府专职消防队、企业专职消防队、志愿消防队、义务消防队、微型消防站、社会救援队”的消防灭火救援力量体系，加强政府专职消防队建设，加强抚顺县全民消防安全宣传教育培训。强化农村安全生产、防灾减灾救灾等安全管理责任，突出抓好食品药品等重点领域和薄弱环节隐患整治，确保社会和谐稳定。</w:t>
      </w:r>
    </w:p>
    <w:p>
      <w:pPr>
        <w:pStyle w:val="4"/>
        <w:spacing w:line="360" w:lineRule="auto"/>
        <w:ind w:firstLine="0" w:firstLineChars="0"/>
        <w:jc w:val="center"/>
        <w:rPr>
          <w:color w:val="000000" w:themeColor="text1"/>
          <w14:textFill>
            <w14:solidFill>
              <w14:schemeClr w14:val="tx1"/>
            </w14:solidFill>
          </w14:textFill>
        </w:rPr>
      </w:pPr>
      <w:bookmarkStart w:id="64" w:name="_Toc432622980"/>
      <w:bookmarkStart w:id="65" w:name="_Toc432623367"/>
      <w:bookmarkStart w:id="66" w:name="_Toc432623627"/>
      <w:bookmarkStart w:id="67" w:name="_Toc53698377"/>
      <w:r>
        <w:rPr>
          <w:rFonts w:hint="eastAsia"/>
          <w:color w:val="000000" w:themeColor="text1"/>
          <w14:textFill>
            <w14:solidFill>
              <w14:schemeClr w14:val="tx1"/>
            </w14:solidFill>
          </w14:textFill>
        </w:rPr>
        <w:t xml:space="preserve">第八节 </w:t>
      </w:r>
      <w:r>
        <w:rPr>
          <w:color w:val="000000" w:themeColor="text1"/>
          <w14:textFill>
            <w14:solidFill>
              <w14:schemeClr w14:val="tx1"/>
            </w14:solidFill>
          </w14:textFill>
        </w:rPr>
        <w:t xml:space="preserve"> </w:t>
      </w:r>
      <w:bookmarkEnd w:id="64"/>
      <w:bookmarkEnd w:id="65"/>
      <w:bookmarkEnd w:id="66"/>
      <w:r>
        <w:rPr>
          <w:rFonts w:hint="eastAsia"/>
          <w:color w:val="000000" w:themeColor="text1"/>
          <w14:textFill>
            <w14:solidFill>
              <w14:schemeClr w14:val="tx1"/>
            </w14:solidFill>
          </w14:textFill>
        </w:rPr>
        <w:t>共享振兴发展成果：构建和谐社会，增进民生福祉</w:t>
      </w:r>
      <w:bookmarkEnd w:id="67"/>
    </w:p>
    <w:p>
      <w:pPr>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以满足人民日益增长的美好生活需要为出发点，保障群众基本生活，满足人民多层次多样化需求，推动全体人民共同参与社会建设，共同加强社会治理；着力推进民生保障创新，着力加强民政能力建设，大力推进民政事业，保障人民安居乐业。使改革发展成果更多更公平惠及全县人民，使人民获得感、幸福感、安全感更加充实、更有保障、更可持续。</w:t>
      </w:r>
    </w:p>
    <w:p>
      <w:pPr>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——推动教育事业改革，推进教育现代化。</w:t>
      </w:r>
      <w:r>
        <w:rPr>
          <w:rFonts w:hint="eastAsia" w:ascii="仿宋" w:hAnsi="仿宋" w:eastAsia="仿宋" w:cs="仿宋"/>
          <w:color w:val="000000" w:themeColor="text1"/>
          <w:kern w:val="0"/>
          <w:sz w:val="28"/>
          <w:szCs w:val="28"/>
          <w14:textFill>
            <w14:solidFill>
              <w14:schemeClr w14:val="tx1"/>
            </w14:solidFill>
          </w14:textFill>
        </w:rPr>
        <w:t xml:space="preserve">立足抚顺县教育实际，推动教育事业深化改革，推进教育现代化建设。“十四五”期间，重点落实立德树人根本任务，全面推进习近平新时代中国特色社会主义思想进课堂进头脑，增强中小学德育针对性实效性，加强体育美育劳动教育；稳步推进各阶段教育发展任务，加强校园基础设施建设，实现学前教育普惠有质量发展、义务教育优质均衡发展、普通高中教育特色发展、职业教育产教融合式发展，以及特殊群体教育权利保障发展；全面提高教育教学质量，完善学校管理制度，加强特色教育和校园文化建设，积极探索推进中小学课后服务；加强新时代教师队伍建设，加强师德师风建设，深化教师管理制度改革，补强中小学教师队伍短板；大力推进教育信息化，推进“互联网+教育”在教育教学中的运用与创新。 </w:t>
      </w:r>
    </w:p>
    <w:p>
      <w:pPr>
        <w:adjustRightInd w:val="0"/>
        <w:snapToGrid w:val="0"/>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——完善卫生健康服务体系，提升公共卫生服务水平。</w:t>
      </w:r>
      <w:r>
        <w:rPr>
          <w:rFonts w:hint="eastAsia" w:ascii="仿宋" w:hAnsi="仿宋" w:eastAsia="仿宋"/>
          <w:color w:val="000000" w:themeColor="text1"/>
          <w:sz w:val="28"/>
          <w:szCs w:val="28"/>
          <w14:textFill>
            <w14:solidFill>
              <w14:schemeClr w14:val="tx1"/>
            </w14:solidFill>
          </w14:textFill>
        </w:rPr>
        <w:t>开展健康生活促进行动，倡导健康生活方式。</w:t>
      </w:r>
      <w:r>
        <w:rPr>
          <w:rFonts w:hint="eastAsia" w:ascii="仿宋" w:hAnsi="仿宋" w:eastAsia="仿宋" w:cs="仿宋"/>
          <w:color w:val="000000" w:themeColor="text1"/>
          <w:sz w:val="28"/>
          <w:szCs w:val="28"/>
          <w14:textFill>
            <w14:solidFill>
              <w14:schemeClr w14:val="tx1"/>
            </w14:solidFill>
          </w14:textFill>
        </w:rPr>
        <w:t>实施居民营养计划，全面普及膳食营养和健康知识，逐步解决居民营养不足与过剩并存问题。以医疗机构、疾控机构为基础，初步建立紧急医学救援网络；开展公共卫生服务全覆盖行动，提升公共卫生服务质量和水平。进一步加大对疾病预防控制、妇幼健康等公共卫生服务机构的建设力度，提升基本公共卫生服务能力；大力发展健康产业，发展中医药旅游产业、特色食品药品产业、健康养老产业；全县试行分级诊疗，建立并完善分级诊疗模式，建立不同级别医院之间，医院与基层医疗卫生机构的分工协作机制，健全网络化城乡基层医疗卫生服务运行机制，逐步实现基层首诊、双向转诊、上下联动、急慢分治；推进县级区域信息平台建设，实现与省、市卫生计生信息平台的互联互通、信息共享；推进二级甲等以下医院临床信息化建设，加快其以电子病历为核心的临床信息系统；加强医疗机构各类人员的培训，提高人员素质，提升医疗服务水平。完善基本医疗保险制度，实行医疗保障待遇清单制度，完善医保目录动态调整机制，创新医保协议管理，持续推进医保支付方式改革，优化医疗保障公共服务。</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——扩大居民就业规模，</w:t>
      </w:r>
      <w:r>
        <w:rPr>
          <w:rFonts w:hint="eastAsia" w:ascii="仿宋" w:hAnsi="仿宋" w:eastAsia="仿宋" w:cs="楷体"/>
          <w:b/>
          <w:color w:val="000000" w:themeColor="text1"/>
          <w:sz w:val="28"/>
          <w:szCs w:val="28"/>
          <w14:textFill>
            <w14:solidFill>
              <w14:schemeClr w14:val="tx1"/>
            </w14:solidFill>
          </w14:textFill>
        </w:rPr>
        <w:t>推进</w:t>
      </w:r>
      <w:r>
        <w:rPr>
          <w:rFonts w:hint="eastAsia" w:ascii="仿宋" w:hAnsi="仿宋" w:eastAsia="仿宋"/>
          <w:b/>
          <w:color w:val="000000" w:themeColor="text1"/>
          <w:sz w:val="28"/>
          <w:szCs w:val="36"/>
          <w14:textFill>
            <w14:solidFill>
              <w14:schemeClr w14:val="tx1"/>
            </w14:solidFill>
          </w14:textFill>
        </w:rPr>
        <w:t>农村劳动力转移</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着力扩大居民就业规模，提高农村居民收入。实施扩大就业的发展战略，采取更加积极的就业政策。完善基层劳动保障服务平台，力争村级</w:t>
      </w:r>
      <w:r>
        <w:rPr>
          <w:rFonts w:hint="eastAsia" w:ascii="仿宋" w:hAnsi="仿宋" w:eastAsia="仿宋"/>
          <w:color w:val="000000" w:themeColor="text1"/>
          <w:sz w:val="28"/>
          <w:szCs w:val="28"/>
          <w14:textFill>
            <w14:solidFill>
              <w14:schemeClr w14:val="tx1"/>
            </w14:solidFill>
          </w14:textFill>
        </w:rPr>
        <w:t>平台建设成为标准化、数字化规模，提升基层劳动服务能力和水平；全方位开展劳动技能培训。在统筹规划、整合现有资源的基础上，以抚顺县剩余劳动力调查为基础，计划为统领，五年培训计划为中心，围绕重点劳动者有计划、有针对性开展培训；推动创业带动就业工作，激发全社会创新潜能和创业活力；认真贯彻落实各项就业扶持、就业援助政策；强化就业服务，搭建用工平台。促进农村劳动力转移，</w:t>
      </w:r>
      <w:r>
        <w:rPr>
          <w:rFonts w:hint="eastAsia" w:ascii="仿宋" w:hAnsi="仿宋" w:eastAsia="仿宋"/>
          <w:color w:val="000000" w:themeColor="text1"/>
          <w:sz w:val="28"/>
          <w:szCs w:val="36"/>
          <w14:textFill>
            <w14:solidFill>
              <w14:schemeClr w14:val="tx1"/>
            </w14:solidFill>
          </w14:textFill>
        </w:rPr>
        <w:t>鼓励并组织农民劳务输出（转移）。</w:t>
      </w:r>
      <w:r>
        <w:rPr>
          <w:rFonts w:hint="eastAsia" w:ascii="仿宋" w:hAnsi="仿宋" w:eastAsia="仿宋"/>
          <w:color w:val="000000" w:themeColor="text1"/>
          <w:sz w:val="28"/>
          <w:szCs w:val="28"/>
          <w14:textFill>
            <w14:solidFill>
              <w14:schemeClr w14:val="tx1"/>
            </w14:solidFill>
          </w14:textFill>
        </w:rPr>
        <w:t>建立解决外来人口落户机制，推进农业人口转移市民化；推动公共基本服务向常住人口覆盖，增强城镇教育资源承载能力，逐步完善外来务工人员参加社会保险制度。</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——健全社会保障体系，发展社会福利事业。</w:t>
      </w:r>
      <w:r>
        <w:rPr>
          <w:rFonts w:hint="eastAsia" w:ascii="仿宋" w:hAnsi="仿宋" w:eastAsia="仿宋"/>
          <w:color w:val="000000" w:themeColor="text1"/>
          <w:sz w:val="28"/>
          <w:szCs w:val="28"/>
          <w14:textFill>
            <w14:solidFill>
              <w14:schemeClr w14:val="tx1"/>
            </w14:solidFill>
          </w14:textFill>
        </w:rPr>
        <w:t>着力提高社会救助水平，完善社会救助制度，规范社会救助环节，着力推进民生保障创新，着力加强民政能力建设，吸纳各种资源和手段，大力推进民政事业，保障人民安居乐业。完善城乡社会救助体系，推进多部门协同合作的帮扶制度；深入推进临时救助、急难救助等新型救助制度建设。加强对突发事件的应急管理能力，简化救助程序，提高救助效率；完善公共消防设施和消防装备建设，建立覆盖城乡的灭火应急救援力量体系。大力发展社会福利事业，加快发展以扶老、助残、救孤、济困为重点的社会福利事业，完善以居家为基础、乡镇为依托、机构为补充的社会福利服务体系；优化妇女儿童发展环境，加大对特殊妇女儿童群体的关爱保护力度，建立完善农村留守儿童关爱服务体系；完善城乡基层民主政治建设体系；加强行政区划地名管理工作。落实退役军人优抚安置政策，完善退役军人服务保障体系和保障制度。加强烈士纪念设施修缮保护工作，总体用</w:t>
      </w:r>
      <w:r>
        <w:rPr>
          <w:rFonts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年时间，对烈士纪念设施进行必要的升级改造，打造内涵丰富、环境优美的精品烈士纪念设施。</w:t>
      </w:r>
    </w:p>
    <w:p>
      <w:pPr>
        <w:pStyle w:val="2"/>
      </w:pPr>
    </w:p>
    <w:p>
      <w:pPr>
        <w:pStyle w:val="2"/>
      </w:pPr>
    </w:p>
    <w:p>
      <w:pPr>
        <w:pStyle w:val="2"/>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专栏8</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时期社会事业建设重点项目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000" w:type="pct"/>
          </w:tcPr>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1.</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救兵镇政府及便民服务中心综合建设项目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总投资0.2亿元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2.</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抚顺县乡镇卫生院电力增容及电力安装改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总投资0.054亿元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3</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抚顺县医院信息化管理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总投资0.14</w:t>
            </w:r>
            <w:r>
              <w:rPr>
                <w:rFonts w:eastAsia="仿宋"/>
                <w:bCs/>
                <w:color w:val="000000" w:themeColor="text1"/>
                <w:szCs w:val="21"/>
                <w14:textFill>
                  <w14:solidFill>
                    <w14:schemeClr w14:val="tx1"/>
                  </w14:solidFill>
                </w14:textFill>
              </w:rPr>
              <w:t>2</w:t>
            </w:r>
            <w:r>
              <w:rPr>
                <w:rFonts w:hint="eastAsia" w:eastAsia="仿宋"/>
                <w:bCs/>
                <w:color w:val="000000" w:themeColor="text1"/>
                <w:szCs w:val="21"/>
                <w14:textFill>
                  <w14:solidFill>
                    <w14:schemeClr w14:val="tx1"/>
                  </w14:solidFill>
                </w14:textFill>
              </w:rPr>
              <w:t>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4</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抚顺县基层医疗单位建设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总投资0.1亿元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5</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抚顺县人民医院（石文址）医养结合建设项目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总投资1亿元</w:t>
            </w:r>
          </w:p>
          <w:p>
            <w:pPr>
              <w:spacing w:line="360" w:lineRule="auto"/>
              <w:ind w:firstLine="420" w:firstLineChars="200"/>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 xml:space="preserve">塑胶场地建设项目 </w:t>
            </w:r>
            <w:r>
              <w:rPr>
                <w:rFonts w:eastAsia="仿宋"/>
                <w:bCs/>
                <w:color w:val="000000" w:themeColor="text1"/>
                <w:szCs w:val="21"/>
                <w14:textFill>
                  <w14:solidFill>
                    <w14:schemeClr w14:val="tx1"/>
                  </w14:solidFill>
                </w14:textFill>
              </w:rPr>
              <w:t xml:space="preserve"> </w:t>
            </w:r>
            <w:r>
              <w:rPr>
                <w:rFonts w:hint="eastAsia" w:eastAsia="仿宋"/>
                <w:bCs/>
                <w:color w:val="000000" w:themeColor="text1"/>
                <w:szCs w:val="21"/>
                <w14:textFill>
                  <w14:solidFill>
                    <w14:schemeClr w14:val="tx1"/>
                  </w14:solidFill>
                </w14:textFill>
              </w:rPr>
              <w:t>总投资0.1亿元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中心敬老院建设项目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总投资0.4亿元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殡仪馆改扩建项目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总投资0.1亿元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颐养乐老年医养服务项目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总投资3亿元</w:t>
            </w:r>
          </w:p>
          <w:p>
            <w:pPr>
              <w:pStyle w:val="2"/>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抚顺县烈士陵园设施改扩建项目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总投资0.08亿元</w:t>
            </w:r>
          </w:p>
          <w:p>
            <w:pPr>
              <w:pStyle w:val="2"/>
              <w:ind w:firstLine="420" w:firstLineChars="2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罕王集团公寓项目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总投资1.5亿元</w:t>
            </w:r>
          </w:p>
        </w:tc>
      </w:tr>
    </w:tbl>
    <w:p>
      <w:pPr>
        <w:pStyle w:val="2"/>
        <w:rPr>
          <w:color w:val="000000" w:themeColor="text1"/>
          <w14:textFill>
            <w14:solidFill>
              <w14:schemeClr w14:val="tx1"/>
            </w14:solidFill>
          </w14:textFill>
        </w:rPr>
      </w:pPr>
    </w:p>
    <w:p>
      <w:pPr>
        <w:pStyle w:val="4"/>
        <w:spacing w:line="360" w:lineRule="auto"/>
        <w:ind w:firstLine="0" w:firstLineChars="0"/>
        <w:jc w:val="center"/>
        <w:rPr>
          <w:color w:val="000000" w:themeColor="text1"/>
          <w14:textFill>
            <w14:solidFill>
              <w14:schemeClr w14:val="tx1"/>
            </w14:solidFill>
          </w14:textFill>
        </w:rPr>
      </w:pPr>
      <w:bookmarkStart w:id="68" w:name="_Toc53698378"/>
      <w:r>
        <w:rPr>
          <w:rFonts w:hint="eastAsia"/>
          <w:color w:val="000000" w:themeColor="text1"/>
          <w14:textFill>
            <w14:solidFill>
              <w14:schemeClr w14:val="tx1"/>
            </w14:solidFill>
          </w14:textFill>
        </w:rPr>
        <w:t xml:space="preserve">第九节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深入打造文化强县：传承红色基因，壮大文化产业</w:t>
      </w:r>
      <w:bookmarkEnd w:id="68"/>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十四五</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时期,全县以争创“两山理论实践创新基地”为目标，围绕“弘扬红色文化，传承红色基因”主线，深入打造文化强县。推进产业结构不断优化，质量和效益稳步提高。初步形成体系完备、结构合理、人才集聚、效益显著、特色鲜明的文化产业发展新格局。</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——传承红色基因，弘扬民俗文化。</w:t>
      </w:r>
      <w:r>
        <w:rPr>
          <w:rFonts w:hint="eastAsia" w:ascii="仿宋" w:hAnsi="仿宋" w:eastAsia="仿宋"/>
          <w:color w:val="000000" w:themeColor="text1"/>
          <w:sz w:val="28"/>
          <w:szCs w:val="28"/>
          <w14:textFill>
            <w14:solidFill>
              <w14:schemeClr w14:val="tx1"/>
            </w14:solidFill>
          </w14:textFill>
        </w:rPr>
        <w:t>“十四五”期间，加强全县文物和革命旧址保护工作，弘扬和传承历史文化，提升全县历史文化底蕴。进一步保护利用红色资源并传承弘扬红色文化，发挥红色广场、抗联遗址、沈抚县委旧址纪念馆等红色资源的影响力，推动红色文化与绿色生态同步发展。同时，依托辽宁省雷锋学院教育实践基地、三块石辽宁省爱国主义教育基地、抚顺县新时代文明实践中心等爱国主义教育基地，发展研学、考察、教育培训、党建活动等丰富多彩的主题教育和培训活动。利用满族文化背景，以展现满族民俗文化活动、各类文娱体育表演为特色，发展具有满族特色民俗文化和举办“满族风情文化节”，打造满族文化体验区。</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——发展重点文化行业，培育重点文化企业。</w:t>
      </w:r>
      <w:r>
        <w:rPr>
          <w:rFonts w:hint="eastAsia" w:ascii="仿宋" w:hAnsi="仿宋" w:eastAsia="仿宋"/>
          <w:color w:val="000000" w:themeColor="text1"/>
          <w:sz w:val="28"/>
          <w:szCs w:val="28"/>
          <w14:textFill>
            <w14:solidFill>
              <w14:schemeClr w14:val="tx1"/>
            </w14:solidFill>
          </w14:textFill>
        </w:rPr>
        <w:t>“十四五”期间，发展重点文化产业：积极发展数字文化产业，加快抚顺县融媒体中心省级试点单位建设；积极发展康养文化旅游产业，将东部生态旅游集聚区打造成养生谷康养产业集聚区，促进文化、旅游、体育、农业、康养等融合发展；积极发展影视产业，依托三块石、天女山、梨花谷等县域内自然景观和文化景观，建设影视产业基地，同时，做好本地题材的影视创作工作。 推进非遗产业繁荣与发展，做好蝴蝶贴画、剪纸、灵芝景观、葫芦烙画等传统工艺品的传承创新发展。培育重点文化企业：以现代农耕文化为核心，重点培育辽宁三友农业生物科技有限公司为代表的一批现代农业企业，逐步打造一批集农产品生产加工、销售、农业观光、科普教育为一体的综合性企业。</w:t>
      </w:r>
    </w:p>
    <w:p>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——加快文化项目建设，布局重点文化基地。</w:t>
      </w:r>
      <w:r>
        <w:rPr>
          <w:rFonts w:hint="eastAsia" w:ascii="仿宋" w:hAnsi="仿宋" w:eastAsia="仿宋"/>
          <w:color w:val="000000" w:themeColor="text1"/>
          <w:sz w:val="28"/>
          <w:szCs w:val="28"/>
          <w14:textFill>
            <w14:solidFill>
              <w14:schemeClr w14:val="tx1"/>
            </w14:solidFill>
          </w14:textFill>
        </w:rPr>
        <w:t>“十四五”期间，加快文化项目建设：（1）建设一批历史文化项目，以明清文化为核心，重点建设萨尔浒山城国家级历史文化项目（含汉代长城项目）、长城公园省级历史文化项目、东洲堡、马郡单堡、散羊峪堡等长城沿线古城堡省级历史文化项目、战国时期燕长城省级历史文化项目。（2）建设一批红色文化旅游项目，以抗联文化为核心，依托三块石国家森林公园包装三块石省级爱国主义教育基地项目。以革命老区精神为核心，依托沈抚县委旧址等老革命根据地打造革命老区行红色旅游项目。以军旅文化为核心，依托海浪乡军旅文化资源打造军旅文化旅游项目。（3）建设一批生态文化项目，依托东部生态资源优势建设养生谷生态康养文化旅游项目，依托冰雪资源优势建设三块石及天女山冰雪文化产业项目。打造重点文化基地：（1）打造东部“养生谷”康养文化产业园区。以三块石、天女山、社河生态湿地观光带、全国四好农村景观路等“两山两带”建设为核心，将东部生态旅游集聚区打造成为集运动健身、养生度假、休闲娱乐、文旅融合于一体的“养生谷”康养文化产业园区。（2）打造峡河农事科普体验园区。以峡河乡七彩柞蚕谷为核心景区，融入人文文化、柞蚕文化、生态文化及资源特色，打造汇集生态养殖、旅游观光、科普教育、农事体验等功能为一体的农事科普体验园区。（3）打造红色教育产业园区。东部园区依托辽宁省雷锋学院教育实践基地、三块石辽宁省爱国主义教育基地、沈抚县委旧址爱国主义教育基地和抚顺县新时代文明实践中心等爱国主义教育基地，将红色革命文化、绿色生态旅游和冰雪文化紧密结合，把园区打造成文化教育与产业深度融合的综合性产业园区。西部园区依托军事遗迹，以军旅文化为特色，利用海浪乡闲置的军产，建设一个集青少年研学旅行、青少年军训、国防教育、中国军事文化教育、拓展培训等为一体的军事主题园。</w:t>
      </w:r>
    </w:p>
    <w:p>
      <w:pPr>
        <w:pStyle w:val="2"/>
      </w:pPr>
    </w:p>
    <w:p>
      <w:pPr>
        <w:pStyle w:val="2"/>
      </w:pPr>
    </w:p>
    <w:p>
      <w:pPr>
        <w:pStyle w:val="2"/>
      </w:pPr>
    </w:p>
    <w:p>
      <w:pPr>
        <w:pStyle w:val="2"/>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专栏9</w:t>
            </w:r>
            <w:r>
              <w:rPr>
                <w:rFonts w:ascii="仿宋" w:hAnsi="仿宋" w:eastAsia="仿宋"/>
                <w:b/>
                <w:bCs/>
                <w:color w:val="000000" w:themeColor="text1"/>
                <w:kern w:val="0"/>
                <w:sz w:val="28"/>
                <w:szCs w:val="28"/>
                <w14:textFill>
                  <w14:solidFill>
                    <w14:schemeClr w14:val="tx1"/>
                  </w14:solidFill>
                </w14:textFill>
              </w:rPr>
              <w:t xml:space="preserve">  </w:t>
            </w:r>
            <w:r>
              <w:rPr>
                <w:rFonts w:hint="eastAsia" w:ascii="仿宋" w:hAnsi="仿宋" w:eastAsia="仿宋"/>
                <w:b/>
                <w:bCs/>
                <w:color w:val="000000" w:themeColor="text1"/>
                <w:kern w:val="0"/>
                <w:sz w:val="28"/>
                <w:szCs w:val="28"/>
                <w14:textFill>
                  <w14:solidFill>
                    <w14:schemeClr w14:val="tx1"/>
                  </w14:solidFill>
                </w14:textFill>
              </w:rPr>
              <w:t>抚顺县</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kern w:val="0"/>
                <w:sz w:val="28"/>
                <w:szCs w:val="28"/>
                <w14:textFill>
                  <w14:solidFill>
                    <w14:schemeClr w14:val="tx1"/>
                  </w14:solidFill>
                </w14:textFill>
              </w:rPr>
              <w:t>十</w:t>
            </w:r>
            <w:r>
              <w:rPr>
                <w:rFonts w:hint="eastAsia" w:ascii="仿宋" w:hAnsi="仿宋" w:eastAsia="仿宋"/>
                <w:b/>
                <w:bCs/>
                <w:color w:val="000000" w:themeColor="text1"/>
                <w:kern w:val="0"/>
                <w:sz w:val="28"/>
                <w:szCs w:val="28"/>
                <w14:textFill>
                  <w14:solidFill>
                    <w14:schemeClr w14:val="tx1"/>
                  </w14:solidFill>
                </w14:textFill>
              </w:rPr>
              <w:t>四</w:t>
            </w:r>
            <w:r>
              <w:rPr>
                <w:rFonts w:ascii="仿宋" w:hAnsi="仿宋" w:eastAsia="仿宋"/>
                <w:b/>
                <w:bCs/>
                <w:color w:val="000000" w:themeColor="text1"/>
                <w:kern w:val="0"/>
                <w:sz w:val="28"/>
                <w:szCs w:val="28"/>
                <w14:textFill>
                  <w14:solidFill>
                    <w14:schemeClr w14:val="tx1"/>
                  </w14:solidFill>
                </w14:textFill>
              </w:rPr>
              <w:t>五”</w:t>
            </w:r>
            <w:r>
              <w:rPr>
                <w:rFonts w:hint="eastAsia" w:ascii="仿宋" w:hAnsi="仿宋" w:eastAsia="仿宋"/>
                <w:b/>
                <w:bCs/>
                <w:color w:val="000000" w:themeColor="text1"/>
                <w:kern w:val="0"/>
                <w:sz w:val="28"/>
                <w:szCs w:val="28"/>
                <w14:textFill>
                  <w14:solidFill>
                    <w14:schemeClr w14:val="tx1"/>
                  </w14:solidFill>
                </w14:textFill>
              </w:rPr>
              <w:t>时期文体建设重点项目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000" w:type="pct"/>
          </w:tcPr>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抚顺县抗联红色文化展览馆建设项目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总投资0.2亿元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抚顺县文化馆建设项目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总投资0.125亿元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抚顺县图书馆建设项目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总投资0.125亿元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抚顺县文化广场建设项目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总投资0.25亿元</w:t>
            </w:r>
          </w:p>
          <w:p>
            <w:pPr>
              <w:spacing w:line="360" w:lineRule="auto"/>
              <w:ind w:firstLine="420" w:firstLineChars="20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 xml:space="preserve">抚顺县综合体育场建设项目 </w:t>
            </w:r>
            <w:r>
              <w:rPr>
                <w:rFonts w:ascii="仿宋" w:hAnsi="仿宋" w:eastAsia="仿宋"/>
                <w:bCs/>
                <w:color w:val="000000" w:themeColor="text1"/>
                <w:szCs w:val="21"/>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总投资0.08亿元</w:t>
            </w:r>
          </w:p>
          <w:p>
            <w:pPr>
              <w:pStyle w:val="2"/>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雷锋学院教育基地项目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总投资1.5亿元</w:t>
            </w:r>
          </w:p>
          <w:p>
            <w:pPr>
              <w:pStyle w:val="2"/>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消防设施建设项目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总投资0.12亿元</w:t>
            </w:r>
          </w:p>
        </w:tc>
      </w:tr>
    </w:tbl>
    <w:p>
      <w:pPr>
        <w:pStyle w:val="2"/>
        <w:rPr>
          <w:rFonts w:ascii="仿宋" w:hAnsi="仿宋" w:eastAsia="仿宋"/>
          <w:color w:val="000000" w:themeColor="text1"/>
          <w14:textFill>
            <w14:solidFill>
              <w14:schemeClr w14:val="tx1"/>
            </w14:solidFill>
          </w14:textFill>
        </w:rPr>
      </w:pPr>
    </w:p>
    <w:p>
      <w:pPr>
        <w:pStyle w:val="4"/>
        <w:spacing w:line="36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第十节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促进青年全面发展：强化思想引领，服务成长成才</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四五”时期，积极推进《中共中央、国务院印发&lt;中长期青年发展规划（2016-2025年）&gt;》落实见效。以《贯彻落实﹤辽宁省中长期青年发展规划（2019—2025年）﹥实施重点工作》为重点，加强党组织对共青团工作的领导，深化共青团改革，着力构建凝聚青年、服务大局、当好桥梁、从严治团的工作格局，促进青年更好成长、更快发展，广大青年思想政治素养和全面发展水平明显提升，不断成长为有理想、有本领、有担当的新时代青年。</w:t>
      </w:r>
    </w:p>
    <w:p>
      <w:pPr>
        <w:pStyle w:val="2"/>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——加强青年思想引领，筑牢青年思想根基。</w:t>
      </w:r>
      <w:r>
        <w:rPr>
          <w:rFonts w:hint="eastAsia" w:ascii="仿宋" w:hAnsi="仿宋" w:eastAsia="仿宋"/>
          <w:color w:val="000000" w:themeColor="text1"/>
          <w:sz w:val="28"/>
          <w:szCs w:val="28"/>
          <w14:textFill>
            <w14:solidFill>
              <w14:schemeClr w14:val="tx1"/>
            </w14:solidFill>
          </w14:textFill>
        </w:rPr>
        <w:t>加强青年理想信念教育，深入开展共产主义、中国特色社会主义和中国梦学习宣传教育，大力弘扬以爱国主义为核心的民族精神，继承和发扬五四精神、传承“雷锋”精神，持续深化“青年大学习”行动，增进青年对党的信赖、信念、信心，引导广大青年坚定不移地听党话、跟党走。深入实施青年马克思主义者培养工程，充分发挥政治理论课在青年学生思想政治教育中的主渠道作用，作好为党培养和输送青年政治骨干人才。在青年中培育和践行社会主义核心价值观，引导青年学习了解党史国史、近现代史和改革开放史，加强爱国主义、集体主义、社会主义教育。强化青年网上思想引领，在青年群体中广泛开展网络素养教育和网络文明志愿者行动；青年教育。持续开展团干部、团员青年教育培训工作，强化青年社会实践教育，帮助青年开阔视野、了解社会、提升综合素质，科学设置青年社会实践活动，广泛开展大中专学生“三下乡”、志愿服务等社会实践活动；青年文化。加强中华优秀传统文化宣传，提升优秀网络文化的传播能力，开展形式多样的青年文化活动，引导青年树立高尚精神追求、文明生活方式和正确消费观念。</w:t>
      </w:r>
    </w:p>
    <w:p>
      <w:pPr>
        <w:pStyle w:val="2"/>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——服务青年成长成才，引领青年建功立业。</w:t>
      </w:r>
      <w:r>
        <w:rPr>
          <w:rFonts w:hint="eastAsia" w:ascii="仿宋" w:hAnsi="仿宋" w:eastAsia="仿宋"/>
          <w:color w:val="000000" w:themeColor="text1"/>
          <w:sz w:val="28"/>
          <w:szCs w:val="28"/>
          <w14:textFill>
            <w14:solidFill>
              <w14:schemeClr w14:val="tx1"/>
            </w14:solidFill>
          </w14:textFill>
        </w:rPr>
        <w:t>持续提升青年体质健康和心理健康水平，组织青年广泛参与全民健身运动，加强青年心理健康知识宣传，鼓励和支持青年体育类社会组织发展；青年婚恋。切实服务青年婚恋交友，支持开展健康的青年交友交流活动，提供必要的基础保障和适合青年特点的便利条件；青年就业创业。鼓励多渠道多形式就业，对就业困难的青年提供就业援助。加强青年创业培训，注重在助力营商环境建设中打造“青”字号品牌，引导职业青年立足岗位创优创效；青年社会融入与社会参与。吸引和带动青年广泛参与社会实践和社会公益，扎实推进共青团投身打赢脱贫攻坚行动，鼓励青年积极参与生态环境保护，在社会实践中锻炼青年，不断增强社会责任感、提升社会化技能。引领青年有序参与政治生活和社会公共事务，深化“共青团与人大代表、政协委员面对面”活动；维护青少年合法权益。贯彻有关青少年权益维护的法律法规和政策，加强对困难青年群众、残疾青年群体、进城务工青年及其未成年子女等群体的关爱和权益维护工作；预防青少年违法犯罪。加强法治宣传教育，深入推进“法治进校园”活动，深化“青少年零犯罪零受害社区（村）”试点工作。</w:t>
      </w:r>
    </w:p>
    <w:p>
      <w:pPr>
        <w:widowControl/>
        <w:jc w:val="left"/>
        <w:rPr>
          <w:rFonts w:ascii="仿宋" w:hAnsi="仿宋" w:eastAsia="仿宋"/>
          <w:b/>
          <w:bCs/>
          <w:color w:val="000000" w:themeColor="text1"/>
          <w:kern w:val="44"/>
          <w:sz w:val="36"/>
          <w:szCs w:val="28"/>
          <w14:textFill>
            <w14:solidFill>
              <w14:schemeClr w14:val="tx1"/>
            </w14:solidFill>
          </w14:textFill>
        </w:rPr>
      </w:pPr>
      <w:bookmarkStart w:id="69" w:name="_Toc53698379"/>
      <w:r>
        <w:rPr>
          <w:rFonts w:ascii="仿宋" w:hAnsi="仿宋" w:eastAsia="仿宋"/>
          <w:b/>
          <w:color w:val="000000" w:themeColor="text1"/>
          <w:szCs w:val="28"/>
          <w14:textFill>
            <w14:solidFill>
              <w14:schemeClr w14:val="tx1"/>
            </w14:solidFill>
          </w14:textFill>
        </w:rPr>
        <w:br w:type="page"/>
      </w:r>
    </w:p>
    <w:p>
      <w:pPr>
        <w:pStyle w:val="3"/>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第五章 “十四五”规划</w:t>
      </w:r>
      <w:r>
        <w:rPr>
          <w:rFonts w:ascii="仿宋" w:hAnsi="仿宋" w:eastAsia="仿宋"/>
          <w:b/>
          <w:color w:val="000000" w:themeColor="text1"/>
          <w:szCs w:val="28"/>
          <w14:textFill>
            <w14:solidFill>
              <w14:schemeClr w14:val="tx1"/>
            </w14:solidFill>
          </w14:textFill>
        </w:rPr>
        <w:t>保障措施</w:t>
      </w:r>
      <w:bookmarkEnd w:id="69"/>
      <w:r>
        <w:rPr>
          <w:rFonts w:ascii="仿宋" w:hAnsi="仿宋" w:eastAsia="仿宋"/>
          <w:b/>
          <w:color w:val="000000" w:themeColor="text1"/>
          <w:sz w:val="28"/>
          <w:szCs w:val="28"/>
          <w14:textFill>
            <w14:solidFill>
              <w14:schemeClr w14:val="tx1"/>
            </w14:solidFill>
          </w14:textFill>
        </w:rPr>
        <w:tab/>
      </w:r>
    </w:p>
    <w:p>
      <w:pPr>
        <w:pStyle w:val="4"/>
        <w:spacing w:line="360" w:lineRule="auto"/>
        <w:ind w:firstLine="0" w:firstLineChars="0"/>
        <w:jc w:val="center"/>
        <w:rPr>
          <w:color w:val="000000" w:themeColor="text1"/>
          <w14:textFill>
            <w14:solidFill>
              <w14:schemeClr w14:val="tx1"/>
            </w14:solidFill>
          </w14:textFill>
        </w:rPr>
      </w:pPr>
      <w:bookmarkStart w:id="70" w:name="_Toc53698380"/>
      <w:r>
        <w:rPr>
          <w:rFonts w:hint="eastAsia"/>
          <w:color w:val="000000" w:themeColor="text1"/>
          <w14:textFill>
            <w14:solidFill>
              <w14:schemeClr w14:val="tx1"/>
            </w14:solidFill>
          </w14:textFill>
        </w:rPr>
        <w:t>第一节  健全体制保障</w:t>
      </w:r>
      <w:bookmarkEnd w:id="70"/>
    </w:p>
    <w:p>
      <w:pPr>
        <w:tabs>
          <w:tab w:val="left" w:pos="3240"/>
        </w:tabs>
        <w:adjustRightInd w:val="0"/>
        <w:snapToGrid w:val="0"/>
        <w:spacing w:line="360" w:lineRule="auto"/>
        <w:ind w:firstLine="562"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——坚持党的统一领导</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36"/>
          <w14:textFill>
            <w14:solidFill>
              <w14:schemeClr w14:val="tx1"/>
            </w14:solidFill>
          </w14:textFill>
        </w:rPr>
        <w:t>加强党对经济和社会发展的领导。发挥党总揽全局、协调各方的领导核心作用。继续深入学习贯彻习近平新时代中国特色社会主义思想，不断提高党领导经济工作的能力和水平；发挥党集中统一领导的“定海神针”作用，切实把党领导一切的制度优势转化为治理效能；提高政治站位，认真履行职责，坚持新发展理念，改进领导经济和社会发展的方式和方法，坚持推动高质量发展；统筹推进稳增长、促改革、调结构、惠民生、防风险各项工作，确保中央决策部署在我县落地生根；要加强全局观念，加强对我县经济社会发展重大问题的研究，在高质量发展中实现系统优化。加强农村基层组织建设，最大限度发挥基层党组织带头富、带领富作用。</w:t>
      </w:r>
    </w:p>
    <w:p>
      <w:pPr>
        <w:pStyle w:val="2"/>
        <w:ind w:firstLine="562"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——建设法治政府</w:t>
      </w:r>
      <w:r>
        <w:rPr>
          <w:rFonts w:hint="eastAsia" w:ascii="仿宋" w:hAnsi="仿宋" w:eastAsia="仿宋"/>
          <w:color w:val="000000" w:themeColor="text1"/>
          <w:sz w:val="28"/>
          <w:szCs w:val="28"/>
          <w14:textFill>
            <w14:solidFill>
              <w14:schemeClr w14:val="tx1"/>
            </w14:solidFill>
          </w14:textFill>
        </w:rPr>
        <w:t>。健全依法决策机制，把公众参与、专家论证、风险评估、合法性审查、集体讨论决定确定为重大行政决策法定程序。深化行政执法体制改革，健全行政执法和刑事司法衔接机制，坚持严格规范公正文明执法，全面落实行政执法责任制。以加强政府内部权力制约为重点，强化对行政权力的制约与监督，扩大审计监督覆盖面。以公开为常态、不公开为例外原则，全面推进政务公开。</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——健全法治环境建设。</w:t>
      </w:r>
      <w:r>
        <w:rPr>
          <w:rFonts w:hint="eastAsia" w:ascii="仿宋" w:hAnsi="仿宋" w:eastAsia="仿宋"/>
          <w:color w:val="000000" w:themeColor="text1"/>
          <w:sz w:val="28"/>
          <w:szCs w:val="28"/>
          <w14:textFill>
            <w14:solidFill>
              <w14:schemeClr w14:val="tx1"/>
            </w14:solidFill>
          </w14:textFill>
        </w:rPr>
        <w:t>对现行服务业法规进行清理，根据现行发展需要及时废除或修订，加强调查研究，掌握服务业发展的立法需求，建立健全与抚顺县服务业发展要求相适应的法治体系。对于不断涌现的新业态、新模式、新产业设立底线，确立监管规则，同时，利用法律为其创造机会，提供制度驱动力。为进一步提高服务业品质，应强化标准规范引领作用，研制地方服务业标准，推动全市服务业“规范化、连锁化、特色化、品牌化” 发展。</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——释放数据、统计服务能力。</w:t>
      </w:r>
      <w:r>
        <w:rPr>
          <w:rFonts w:hint="eastAsia" w:ascii="仿宋" w:hAnsi="仿宋" w:eastAsia="仿宋"/>
          <w:color w:val="000000" w:themeColor="text1"/>
          <w:sz w:val="28"/>
          <w:szCs w:val="28"/>
          <w14:textFill>
            <w14:solidFill>
              <w14:schemeClr w14:val="tx1"/>
            </w14:solidFill>
          </w14:textFill>
        </w:rPr>
        <w:t>一是统计部门根据各行业主管部门需求，及时提供相关统计数据，做好数据服务。从源头提高</w:t>
      </w:r>
      <w:r>
        <w:rPr>
          <w:rFonts w:ascii="仿宋" w:hAnsi="仿宋" w:eastAsia="仿宋"/>
          <w:color w:val="000000" w:themeColor="text1"/>
          <w:sz w:val="28"/>
          <w:szCs w:val="28"/>
          <w14:textFill>
            <w14:solidFill>
              <w14:schemeClr w14:val="tx1"/>
            </w14:solidFill>
          </w14:textFill>
        </w:rPr>
        <w:t>统计数据质量，打牢统计服务的数据基础</w:t>
      </w:r>
      <w:r>
        <w:rPr>
          <w:rFonts w:hint="eastAsia" w:ascii="仿宋" w:hAnsi="仿宋" w:eastAsia="仿宋"/>
          <w:color w:val="000000" w:themeColor="text1"/>
          <w:sz w:val="28"/>
          <w:szCs w:val="28"/>
          <w14:textFill>
            <w14:solidFill>
              <w14:schemeClr w14:val="tx1"/>
            </w14:solidFill>
          </w14:textFill>
        </w:rPr>
        <w:t>。二是统计部门要帮助各行业主管部门加强行业统计调查工作，建立行业部门统计制度，做好统计服务。</w:t>
      </w:r>
      <w:r>
        <w:rPr>
          <w:rFonts w:ascii="仿宋" w:hAnsi="仿宋" w:eastAsia="仿宋"/>
          <w:color w:val="000000" w:themeColor="text1"/>
          <w:sz w:val="28"/>
          <w:szCs w:val="28"/>
          <w14:textFill>
            <w14:solidFill>
              <w14:schemeClr w14:val="tx1"/>
            </w14:solidFill>
          </w14:textFill>
        </w:rPr>
        <w:t>强</w:t>
      </w:r>
      <w:r>
        <w:rPr>
          <w:rFonts w:hint="eastAsia" w:ascii="仿宋" w:hAnsi="仿宋" w:eastAsia="仿宋"/>
          <w:color w:val="000000" w:themeColor="text1"/>
          <w:sz w:val="28"/>
          <w:szCs w:val="28"/>
          <w14:textFill>
            <w14:solidFill>
              <w14:schemeClr w14:val="tx1"/>
            </w14:solidFill>
          </w14:textFill>
        </w:rPr>
        <w:t>化</w:t>
      </w:r>
      <w:r>
        <w:rPr>
          <w:rFonts w:ascii="仿宋" w:hAnsi="仿宋" w:eastAsia="仿宋"/>
          <w:color w:val="000000" w:themeColor="text1"/>
          <w:sz w:val="28"/>
          <w:szCs w:val="28"/>
          <w14:textFill>
            <w14:solidFill>
              <w14:schemeClr w14:val="tx1"/>
            </w14:solidFill>
          </w14:textFill>
        </w:rPr>
        <w:t>业务培训，提高统计服务水平</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开展发展</w:t>
      </w:r>
      <w:r>
        <w:rPr>
          <w:rFonts w:hint="eastAsia" w:ascii="仿宋" w:hAnsi="仿宋" w:eastAsia="仿宋"/>
          <w:color w:val="000000" w:themeColor="text1"/>
          <w:sz w:val="28"/>
          <w:szCs w:val="28"/>
          <w14:textFill>
            <w14:solidFill>
              <w14:schemeClr w14:val="tx1"/>
            </w14:solidFill>
          </w14:textFill>
        </w:rPr>
        <w:t>形势</w:t>
      </w:r>
      <w:r>
        <w:rPr>
          <w:rFonts w:ascii="仿宋" w:hAnsi="仿宋" w:eastAsia="仿宋"/>
          <w:color w:val="000000" w:themeColor="text1"/>
          <w:sz w:val="28"/>
          <w:szCs w:val="28"/>
          <w14:textFill>
            <w14:solidFill>
              <w14:schemeClr w14:val="tx1"/>
            </w14:solidFill>
          </w14:textFill>
        </w:rPr>
        <w:t>分析与预测预警工作</w:t>
      </w:r>
      <w:r>
        <w:rPr>
          <w:rFonts w:hint="eastAsia" w:ascii="仿宋" w:hAnsi="仿宋" w:eastAsia="仿宋"/>
          <w:color w:val="000000" w:themeColor="text1"/>
          <w:sz w:val="28"/>
          <w:szCs w:val="28"/>
          <w14:textFill>
            <w14:solidFill>
              <w14:schemeClr w14:val="tx1"/>
            </w14:solidFill>
          </w14:textFill>
        </w:rPr>
        <w:t>。</w:t>
      </w:r>
    </w:p>
    <w:p>
      <w:pPr>
        <w:pStyle w:val="4"/>
        <w:spacing w:line="360" w:lineRule="auto"/>
        <w:ind w:firstLine="0" w:firstLineChars="0"/>
        <w:jc w:val="center"/>
        <w:rPr>
          <w:color w:val="000000" w:themeColor="text1"/>
          <w14:textFill>
            <w14:solidFill>
              <w14:schemeClr w14:val="tx1"/>
            </w14:solidFill>
          </w14:textFill>
        </w:rPr>
      </w:pPr>
      <w:bookmarkStart w:id="71" w:name="_Toc53698381"/>
      <w:r>
        <w:rPr>
          <w:rFonts w:hint="eastAsia"/>
          <w:color w:val="000000" w:themeColor="text1"/>
          <w14:textFill>
            <w14:solidFill>
              <w14:schemeClr w14:val="tx1"/>
            </w14:solidFill>
          </w14:textFill>
        </w:rPr>
        <w:t xml:space="preserve">第二节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完善要素保障</w:t>
      </w:r>
      <w:bookmarkEnd w:id="71"/>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——加大财政支持。</w:t>
      </w:r>
      <w:r>
        <w:rPr>
          <w:rFonts w:hint="eastAsia" w:ascii="仿宋" w:hAnsi="仿宋" w:eastAsia="仿宋"/>
          <w:color w:val="000000" w:themeColor="text1"/>
          <w:sz w:val="28"/>
          <w:szCs w:val="28"/>
          <w14:textFill>
            <w14:solidFill>
              <w14:schemeClr w14:val="tx1"/>
            </w14:solidFill>
          </w14:textFill>
        </w:rPr>
        <w:t>落实大力提质增效的积极财政政策，支持服务业发展。进一步规范和加强服务业发展专项资金管理，提高资金使用效率。全面落实国家减税降费政策，切实减轻企业税费负担，促进企业降本增效。支持投资、消费、出口协调拉动经济增长。统筹中央财政外经贸发展和省全面开放专项资金，落实招商引资激励机制，兑现优质外商投资项目奖励，加快构建对外开放新格局。研究制定区域间产业转移税收分享等改革政策，促进区域间协调发展。加大财政投入力度，健全技术创新引导支持机制。支持重大科技项目和高水平人才队伍建设，促进科技与经济深度融合。</w:t>
      </w:r>
    </w:p>
    <w:p>
      <w:pPr>
        <w:tabs>
          <w:tab w:val="left" w:pos="5686"/>
        </w:tabs>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——强化智力支持。</w:t>
      </w:r>
      <w:r>
        <w:rPr>
          <w:rFonts w:hint="eastAsia" w:ascii="仿宋" w:hAnsi="仿宋" w:eastAsia="仿宋"/>
          <w:color w:val="000000" w:themeColor="text1"/>
          <w:sz w:val="28"/>
          <w:szCs w:val="28"/>
          <w14:textFill>
            <w14:solidFill>
              <w14:schemeClr w14:val="tx1"/>
            </w14:solidFill>
          </w14:textFill>
        </w:rPr>
        <w:t>坚持正确选人用人导向。全县按照好干部“20字”方针，坚持公平、公正、公开的原则，做好干部选配调整工作，做到旗帜鲜明为敢于担当的干部担当，给想事干事能干成事的干部舞台，真正让吃苦的人吃香、实干的人实惠、有为的人有位。要加强党对人才工作的领导，聚焦实施“两谷一带”战略主战场，强化人才引进和本土人才培养。</w:t>
      </w:r>
      <w:r>
        <w:rPr>
          <w:rFonts w:ascii="仿宋" w:hAnsi="仿宋" w:eastAsia="仿宋"/>
          <w:bCs/>
          <w:color w:val="000000" w:themeColor="text1"/>
          <w:sz w:val="28"/>
          <w:szCs w:val="28"/>
          <w14:textFill>
            <w14:solidFill>
              <w14:schemeClr w14:val="tx1"/>
            </w14:solidFill>
          </w14:textFill>
        </w:rPr>
        <w:t>建立高层次人才服务“绿色通道”窗口，帮助企事业等用人单位做好高层次人才引进工作，提供人才交流、产品对接、成果转换的高品质人才交流服务平台。建设高层次人才中介服务机构，着力培养本土的猎头公司。</w:t>
      </w:r>
      <w:r>
        <w:rPr>
          <w:rFonts w:hint="eastAsia" w:ascii="仿宋" w:hAnsi="仿宋" w:eastAsia="仿宋"/>
          <w:color w:val="000000" w:themeColor="text1"/>
          <w:sz w:val="28"/>
          <w:szCs w:val="28"/>
          <w14:textFill>
            <w14:solidFill>
              <w14:schemeClr w14:val="tx1"/>
            </w14:solidFill>
          </w14:textFill>
        </w:rPr>
        <w:t xml:space="preserve">加强人才公共服务体系建设，规范人才档案管理，根据各类人才需求创新服务方式。 </w:t>
      </w:r>
    </w:p>
    <w:p>
      <w:pPr>
        <w:pStyle w:val="4"/>
        <w:spacing w:line="360" w:lineRule="auto"/>
        <w:ind w:firstLine="0" w:firstLineChars="0"/>
        <w:jc w:val="center"/>
        <w:rPr>
          <w:color w:val="000000" w:themeColor="text1"/>
          <w14:textFill>
            <w14:solidFill>
              <w14:schemeClr w14:val="tx1"/>
            </w14:solidFill>
          </w14:textFill>
        </w:rPr>
      </w:pPr>
      <w:bookmarkStart w:id="72" w:name="_Toc53698382"/>
      <w:r>
        <w:rPr>
          <w:rFonts w:hint="eastAsia"/>
          <w:color w:val="000000" w:themeColor="text1"/>
          <w14:textFill>
            <w14:solidFill>
              <w14:schemeClr w14:val="tx1"/>
            </w14:solidFill>
          </w14:textFill>
        </w:rPr>
        <w:t xml:space="preserve">第三节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强化组织保障</w:t>
      </w:r>
      <w:bookmarkEnd w:id="72"/>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——加大组织协调力度。</w:t>
      </w:r>
      <w:r>
        <w:rPr>
          <w:rFonts w:hint="eastAsia" w:ascii="仿宋" w:hAnsi="仿宋" w:eastAsia="仿宋"/>
          <w:color w:val="000000" w:themeColor="text1"/>
          <w:sz w:val="28"/>
          <w:szCs w:val="28"/>
          <w14:textFill>
            <w14:solidFill>
              <w14:schemeClr w14:val="tx1"/>
            </w14:solidFill>
          </w14:textFill>
        </w:rPr>
        <w:t>明确分工、统一筹划、科学组织规划实施。加强对规划实施的协调力度，切实做好总体规划和专项规划的有机结合，切实发挥“十四五”规划协调小组的作用，建立由发展与改革、财政、自然资源、住建等部门组成的决策小组，解决规划实施中存在的各类问题和矛盾。强化综合协调、跟踪调度、督察督办，解决全县经济社会发展和改革中的重大问题。统筹解决跨区域、跨领域和跨部门重大问题，协调推进重大项目建设。切实提高经济社会发展中的部门合作和区域合作能力，真正落实各项配套政策和措施，合力推动我县经济社会全面发展。</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——强化规划落实与监测评估。</w:t>
      </w:r>
      <w:r>
        <w:rPr>
          <w:rFonts w:hint="eastAsia" w:ascii="仿宋" w:hAnsi="仿宋" w:eastAsia="仿宋"/>
          <w:color w:val="000000" w:themeColor="text1"/>
          <w:sz w:val="28"/>
          <w:szCs w:val="28"/>
          <w14:textFill>
            <w14:solidFill>
              <w14:schemeClr w14:val="tx1"/>
            </w14:solidFill>
          </w14:textFill>
        </w:rPr>
        <w:t>系统梳理现有政策，</w:t>
      </w:r>
      <w:r>
        <w:rPr>
          <w:rFonts w:ascii="仿宋" w:hAnsi="仿宋" w:eastAsia="仿宋"/>
          <w:color w:val="000000" w:themeColor="text1"/>
          <w:sz w:val="28"/>
          <w:szCs w:val="28"/>
          <w14:textFill>
            <w14:solidFill>
              <w14:schemeClr w14:val="tx1"/>
            </w14:solidFill>
          </w14:textFill>
        </w:rPr>
        <w:t>力争在”十四五”时期所有政策落实落细，根据发展</w:t>
      </w:r>
      <w:r>
        <w:rPr>
          <w:rFonts w:hint="eastAsia" w:ascii="仿宋" w:hAnsi="仿宋" w:eastAsia="仿宋"/>
          <w:color w:val="000000" w:themeColor="text1"/>
          <w:sz w:val="28"/>
          <w:szCs w:val="28"/>
          <w14:textFill>
            <w14:solidFill>
              <w14:schemeClr w14:val="tx1"/>
            </w14:solidFill>
          </w14:textFill>
        </w:rPr>
        <w:t>规划，按年度将主要目标和重大事项分解落实到具体部门，切实明确工作任务与实施主体责任。加强对重点任务实施运行情况的监测分析，及时准确反映服务业发展真实状况。组织开展规划中期评估工作，并根据评估结果进行动态调整。</w:t>
      </w:r>
    </w:p>
    <w:p>
      <w:pPr>
        <w:tabs>
          <w:tab w:val="left" w:pos="3240"/>
        </w:tabs>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未来五年，我们重任在肩，任务艰巨。让我们在县委、县政府的正确领导下，在县人大依法监督和政协的民主监督下，紧紧依靠全县人民，抢抓机遇、振奋精神、砥砺奋进、开拓创新，为全面实现国民经济和社会发展第十四个五年规划而努力奋斗！</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00745"/>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YjUxOTg5YmEyZGU5ODNhY2Q2MGIyNWExZGZlZGUifQ=="/>
  </w:docVars>
  <w:rsids>
    <w:rsidRoot w:val="00172A27"/>
    <w:rsid w:val="00000DD8"/>
    <w:rsid w:val="00002496"/>
    <w:rsid w:val="00005F0E"/>
    <w:rsid w:val="00006867"/>
    <w:rsid w:val="00010CCD"/>
    <w:rsid w:val="00012CD9"/>
    <w:rsid w:val="00016B66"/>
    <w:rsid w:val="00016C6E"/>
    <w:rsid w:val="00021C1C"/>
    <w:rsid w:val="00021C20"/>
    <w:rsid w:val="00023150"/>
    <w:rsid w:val="000240E8"/>
    <w:rsid w:val="0002446B"/>
    <w:rsid w:val="000246D8"/>
    <w:rsid w:val="000257A7"/>
    <w:rsid w:val="000276A7"/>
    <w:rsid w:val="0003152B"/>
    <w:rsid w:val="00033388"/>
    <w:rsid w:val="00033B97"/>
    <w:rsid w:val="000402D5"/>
    <w:rsid w:val="000403E4"/>
    <w:rsid w:val="0004289B"/>
    <w:rsid w:val="00043248"/>
    <w:rsid w:val="00045F9A"/>
    <w:rsid w:val="000469CC"/>
    <w:rsid w:val="00050811"/>
    <w:rsid w:val="00054A6E"/>
    <w:rsid w:val="00057B8C"/>
    <w:rsid w:val="00061D7E"/>
    <w:rsid w:val="0006519D"/>
    <w:rsid w:val="00065806"/>
    <w:rsid w:val="00066B0A"/>
    <w:rsid w:val="000721C6"/>
    <w:rsid w:val="0007247B"/>
    <w:rsid w:val="00073C56"/>
    <w:rsid w:val="00076E67"/>
    <w:rsid w:val="000774EA"/>
    <w:rsid w:val="00080215"/>
    <w:rsid w:val="000819FB"/>
    <w:rsid w:val="00083218"/>
    <w:rsid w:val="0009232A"/>
    <w:rsid w:val="00092CA8"/>
    <w:rsid w:val="00093696"/>
    <w:rsid w:val="00094626"/>
    <w:rsid w:val="0009530E"/>
    <w:rsid w:val="00095868"/>
    <w:rsid w:val="000959AC"/>
    <w:rsid w:val="00095A09"/>
    <w:rsid w:val="00097C2A"/>
    <w:rsid w:val="000A11BA"/>
    <w:rsid w:val="000A1BA1"/>
    <w:rsid w:val="000A1E4F"/>
    <w:rsid w:val="000A35D2"/>
    <w:rsid w:val="000A6882"/>
    <w:rsid w:val="000A6FAD"/>
    <w:rsid w:val="000B379A"/>
    <w:rsid w:val="000B437C"/>
    <w:rsid w:val="000B7676"/>
    <w:rsid w:val="000B7C0D"/>
    <w:rsid w:val="000C28E0"/>
    <w:rsid w:val="000C482B"/>
    <w:rsid w:val="000C6D12"/>
    <w:rsid w:val="000D2E2E"/>
    <w:rsid w:val="000D3D57"/>
    <w:rsid w:val="000D3F4B"/>
    <w:rsid w:val="000D7CBA"/>
    <w:rsid w:val="000E4B67"/>
    <w:rsid w:val="000E4C60"/>
    <w:rsid w:val="000E4F3E"/>
    <w:rsid w:val="000F3182"/>
    <w:rsid w:val="000F3CCD"/>
    <w:rsid w:val="000F4481"/>
    <w:rsid w:val="001011BB"/>
    <w:rsid w:val="00101ECC"/>
    <w:rsid w:val="00102CAC"/>
    <w:rsid w:val="00103263"/>
    <w:rsid w:val="00103B19"/>
    <w:rsid w:val="001047BB"/>
    <w:rsid w:val="001117CC"/>
    <w:rsid w:val="00112A1C"/>
    <w:rsid w:val="00125447"/>
    <w:rsid w:val="001318BA"/>
    <w:rsid w:val="00136C17"/>
    <w:rsid w:val="00140148"/>
    <w:rsid w:val="0014039A"/>
    <w:rsid w:val="0014150C"/>
    <w:rsid w:val="00144B7A"/>
    <w:rsid w:val="001459D2"/>
    <w:rsid w:val="001549DE"/>
    <w:rsid w:val="00155948"/>
    <w:rsid w:val="001562EC"/>
    <w:rsid w:val="00157A16"/>
    <w:rsid w:val="00161154"/>
    <w:rsid w:val="00163D0C"/>
    <w:rsid w:val="00163EF8"/>
    <w:rsid w:val="001651B1"/>
    <w:rsid w:val="00172679"/>
    <w:rsid w:val="00172A27"/>
    <w:rsid w:val="00176FE7"/>
    <w:rsid w:val="00177320"/>
    <w:rsid w:val="00177E93"/>
    <w:rsid w:val="00181277"/>
    <w:rsid w:val="00182008"/>
    <w:rsid w:val="00182404"/>
    <w:rsid w:val="00182D3F"/>
    <w:rsid w:val="00185410"/>
    <w:rsid w:val="001858CB"/>
    <w:rsid w:val="00186E3E"/>
    <w:rsid w:val="00196EB8"/>
    <w:rsid w:val="001A68DB"/>
    <w:rsid w:val="001A7C44"/>
    <w:rsid w:val="001B15B9"/>
    <w:rsid w:val="001B5018"/>
    <w:rsid w:val="001B69C1"/>
    <w:rsid w:val="001C44E8"/>
    <w:rsid w:val="001D1008"/>
    <w:rsid w:val="001D1C13"/>
    <w:rsid w:val="001D2875"/>
    <w:rsid w:val="001D4980"/>
    <w:rsid w:val="001D5FF3"/>
    <w:rsid w:val="001D6F59"/>
    <w:rsid w:val="001E001F"/>
    <w:rsid w:val="001E0755"/>
    <w:rsid w:val="001E1BD6"/>
    <w:rsid w:val="001E241A"/>
    <w:rsid w:val="001E76A6"/>
    <w:rsid w:val="001F52E1"/>
    <w:rsid w:val="001F6C40"/>
    <w:rsid w:val="001F7B6E"/>
    <w:rsid w:val="00203DA5"/>
    <w:rsid w:val="00205AA8"/>
    <w:rsid w:val="00205EF5"/>
    <w:rsid w:val="002117B3"/>
    <w:rsid w:val="00211A11"/>
    <w:rsid w:val="00211ACB"/>
    <w:rsid w:val="0021286C"/>
    <w:rsid w:val="00215ABA"/>
    <w:rsid w:val="00215B9A"/>
    <w:rsid w:val="0022315F"/>
    <w:rsid w:val="0022537C"/>
    <w:rsid w:val="00226C61"/>
    <w:rsid w:val="00227077"/>
    <w:rsid w:val="00230379"/>
    <w:rsid w:val="00230E64"/>
    <w:rsid w:val="0023121E"/>
    <w:rsid w:val="00233670"/>
    <w:rsid w:val="0024378B"/>
    <w:rsid w:val="002437D8"/>
    <w:rsid w:val="00245C26"/>
    <w:rsid w:val="00246A78"/>
    <w:rsid w:val="002508AA"/>
    <w:rsid w:val="00250908"/>
    <w:rsid w:val="0025100C"/>
    <w:rsid w:val="002511EA"/>
    <w:rsid w:val="00251B3A"/>
    <w:rsid w:val="002541D6"/>
    <w:rsid w:val="00257629"/>
    <w:rsid w:val="00261453"/>
    <w:rsid w:val="0026145F"/>
    <w:rsid w:val="002637C8"/>
    <w:rsid w:val="002637CF"/>
    <w:rsid w:val="00264105"/>
    <w:rsid w:val="002679AF"/>
    <w:rsid w:val="002706AE"/>
    <w:rsid w:val="0027129E"/>
    <w:rsid w:val="0027298E"/>
    <w:rsid w:val="00273613"/>
    <w:rsid w:val="002764BB"/>
    <w:rsid w:val="00281A3C"/>
    <w:rsid w:val="00282578"/>
    <w:rsid w:val="00284C63"/>
    <w:rsid w:val="00286C6B"/>
    <w:rsid w:val="00287856"/>
    <w:rsid w:val="00290EFE"/>
    <w:rsid w:val="0029104C"/>
    <w:rsid w:val="0029159D"/>
    <w:rsid w:val="00292DFA"/>
    <w:rsid w:val="002A0024"/>
    <w:rsid w:val="002A0196"/>
    <w:rsid w:val="002A39DC"/>
    <w:rsid w:val="002B0C5D"/>
    <w:rsid w:val="002B278B"/>
    <w:rsid w:val="002B3028"/>
    <w:rsid w:val="002B41A4"/>
    <w:rsid w:val="002B5240"/>
    <w:rsid w:val="002B5C4C"/>
    <w:rsid w:val="002C3285"/>
    <w:rsid w:val="002C344A"/>
    <w:rsid w:val="002C4623"/>
    <w:rsid w:val="002C5E59"/>
    <w:rsid w:val="002D3397"/>
    <w:rsid w:val="002D4767"/>
    <w:rsid w:val="002D5573"/>
    <w:rsid w:val="002D6EC5"/>
    <w:rsid w:val="002E0514"/>
    <w:rsid w:val="002E6346"/>
    <w:rsid w:val="002F0147"/>
    <w:rsid w:val="002F17E4"/>
    <w:rsid w:val="002F6638"/>
    <w:rsid w:val="002F7FD0"/>
    <w:rsid w:val="00300178"/>
    <w:rsid w:val="003004E9"/>
    <w:rsid w:val="00300B4C"/>
    <w:rsid w:val="00300CED"/>
    <w:rsid w:val="00301B6C"/>
    <w:rsid w:val="003036A0"/>
    <w:rsid w:val="00307F25"/>
    <w:rsid w:val="0031593E"/>
    <w:rsid w:val="00315EA0"/>
    <w:rsid w:val="0031697C"/>
    <w:rsid w:val="0032204B"/>
    <w:rsid w:val="00322B06"/>
    <w:rsid w:val="0032320E"/>
    <w:rsid w:val="0032335E"/>
    <w:rsid w:val="003251B4"/>
    <w:rsid w:val="00330CCF"/>
    <w:rsid w:val="00334BB8"/>
    <w:rsid w:val="003364BE"/>
    <w:rsid w:val="00340196"/>
    <w:rsid w:val="00341A8F"/>
    <w:rsid w:val="00341E46"/>
    <w:rsid w:val="00342171"/>
    <w:rsid w:val="003426B1"/>
    <w:rsid w:val="00342906"/>
    <w:rsid w:val="00343302"/>
    <w:rsid w:val="00344D63"/>
    <w:rsid w:val="003460A0"/>
    <w:rsid w:val="003501D2"/>
    <w:rsid w:val="00351347"/>
    <w:rsid w:val="00351E38"/>
    <w:rsid w:val="00356DDB"/>
    <w:rsid w:val="003578D0"/>
    <w:rsid w:val="00357912"/>
    <w:rsid w:val="00361908"/>
    <w:rsid w:val="00362EAF"/>
    <w:rsid w:val="0036338F"/>
    <w:rsid w:val="0036489D"/>
    <w:rsid w:val="0036787A"/>
    <w:rsid w:val="00371805"/>
    <w:rsid w:val="00372E8B"/>
    <w:rsid w:val="0037403A"/>
    <w:rsid w:val="003743BF"/>
    <w:rsid w:val="00375576"/>
    <w:rsid w:val="00375749"/>
    <w:rsid w:val="003811B1"/>
    <w:rsid w:val="003829A7"/>
    <w:rsid w:val="00385179"/>
    <w:rsid w:val="0039128B"/>
    <w:rsid w:val="00391ED0"/>
    <w:rsid w:val="0039332B"/>
    <w:rsid w:val="003955F6"/>
    <w:rsid w:val="003A15F7"/>
    <w:rsid w:val="003A38C6"/>
    <w:rsid w:val="003A3C91"/>
    <w:rsid w:val="003A555B"/>
    <w:rsid w:val="003A5F3E"/>
    <w:rsid w:val="003B0EDF"/>
    <w:rsid w:val="003B132A"/>
    <w:rsid w:val="003B46FD"/>
    <w:rsid w:val="003B71F1"/>
    <w:rsid w:val="003B7475"/>
    <w:rsid w:val="003B78F5"/>
    <w:rsid w:val="003B7ECC"/>
    <w:rsid w:val="003C04B6"/>
    <w:rsid w:val="003C21E6"/>
    <w:rsid w:val="003C2B0E"/>
    <w:rsid w:val="003C4450"/>
    <w:rsid w:val="003C57B2"/>
    <w:rsid w:val="003C6ADB"/>
    <w:rsid w:val="003D3363"/>
    <w:rsid w:val="003D46ED"/>
    <w:rsid w:val="003E01A9"/>
    <w:rsid w:val="003E1338"/>
    <w:rsid w:val="003E33E3"/>
    <w:rsid w:val="003E4799"/>
    <w:rsid w:val="003F08F7"/>
    <w:rsid w:val="003F2746"/>
    <w:rsid w:val="003F4CC5"/>
    <w:rsid w:val="003F69BC"/>
    <w:rsid w:val="003F7115"/>
    <w:rsid w:val="004009EF"/>
    <w:rsid w:val="004015C5"/>
    <w:rsid w:val="00403268"/>
    <w:rsid w:val="004076FE"/>
    <w:rsid w:val="004107E3"/>
    <w:rsid w:val="00412CB6"/>
    <w:rsid w:val="00412DBC"/>
    <w:rsid w:val="0041754A"/>
    <w:rsid w:val="0042190F"/>
    <w:rsid w:val="00424D7C"/>
    <w:rsid w:val="00426B92"/>
    <w:rsid w:val="00426D61"/>
    <w:rsid w:val="00431B36"/>
    <w:rsid w:val="00432A65"/>
    <w:rsid w:val="00433043"/>
    <w:rsid w:val="004373FD"/>
    <w:rsid w:val="00437C7E"/>
    <w:rsid w:val="004423FE"/>
    <w:rsid w:val="00443BB6"/>
    <w:rsid w:val="00446CC2"/>
    <w:rsid w:val="00446E8C"/>
    <w:rsid w:val="00450672"/>
    <w:rsid w:val="00451127"/>
    <w:rsid w:val="00451245"/>
    <w:rsid w:val="004545A9"/>
    <w:rsid w:val="00461BCC"/>
    <w:rsid w:val="00464701"/>
    <w:rsid w:val="00465BC1"/>
    <w:rsid w:val="00472C7A"/>
    <w:rsid w:val="00472F7E"/>
    <w:rsid w:val="004741E2"/>
    <w:rsid w:val="00477083"/>
    <w:rsid w:val="00477838"/>
    <w:rsid w:val="00480389"/>
    <w:rsid w:val="00482ADB"/>
    <w:rsid w:val="004857DB"/>
    <w:rsid w:val="0048617E"/>
    <w:rsid w:val="0048791F"/>
    <w:rsid w:val="0049054D"/>
    <w:rsid w:val="004909C4"/>
    <w:rsid w:val="00492584"/>
    <w:rsid w:val="00494941"/>
    <w:rsid w:val="00496477"/>
    <w:rsid w:val="004A0031"/>
    <w:rsid w:val="004A003F"/>
    <w:rsid w:val="004A0D99"/>
    <w:rsid w:val="004A321A"/>
    <w:rsid w:val="004A448D"/>
    <w:rsid w:val="004A4DC8"/>
    <w:rsid w:val="004A50D3"/>
    <w:rsid w:val="004B074B"/>
    <w:rsid w:val="004B08CE"/>
    <w:rsid w:val="004B1A59"/>
    <w:rsid w:val="004B5BAB"/>
    <w:rsid w:val="004C0DA9"/>
    <w:rsid w:val="004C1281"/>
    <w:rsid w:val="004C612B"/>
    <w:rsid w:val="004C6D58"/>
    <w:rsid w:val="004C797B"/>
    <w:rsid w:val="004D2724"/>
    <w:rsid w:val="004D3254"/>
    <w:rsid w:val="004D6CD0"/>
    <w:rsid w:val="004E043B"/>
    <w:rsid w:val="004E17C6"/>
    <w:rsid w:val="004E3DF5"/>
    <w:rsid w:val="004E5014"/>
    <w:rsid w:val="004E7088"/>
    <w:rsid w:val="004F4866"/>
    <w:rsid w:val="004F5934"/>
    <w:rsid w:val="004F6A35"/>
    <w:rsid w:val="00500FAA"/>
    <w:rsid w:val="00501503"/>
    <w:rsid w:val="00504111"/>
    <w:rsid w:val="00510CB4"/>
    <w:rsid w:val="0051171E"/>
    <w:rsid w:val="005126F8"/>
    <w:rsid w:val="005161D8"/>
    <w:rsid w:val="00517B9A"/>
    <w:rsid w:val="00521470"/>
    <w:rsid w:val="0052320D"/>
    <w:rsid w:val="00523648"/>
    <w:rsid w:val="00523D42"/>
    <w:rsid w:val="00527038"/>
    <w:rsid w:val="00532774"/>
    <w:rsid w:val="005337E2"/>
    <w:rsid w:val="00537CD4"/>
    <w:rsid w:val="00542D65"/>
    <w:rsid w:val="00551773"/>
    <w:rsid w:val="00553116"/>
    <w:rsid w:val="005549D1"/>
    <w:rsid w:val="005557F2"/>
    <w:rsid w:val="005563D5"/>
    <w:rsid w:val="00557FF7"/>
    <w:rsid w:val="00561410"/>
    <w:rsid w:val="00561A38"/>
    <w:rsid w:val="005635D7"/>
    <w:rsid w:val="005642AB"/>
    <w:rsid w:val="00564C4F"/>
    <w:rsid w:val="005678B8"/>
    <w:rsid w:val="00572037"/>
    <w:rsid w:val="0057435F"/>
    <w:rsid w:val="00576B80"/>
    <w:rsid w:val="0058065D"/>
    <w:rsid w:val="005808CE"/>
    <w:rsid w:val="0058355A"/>
    <w:rsid w:val="00585D89"/>
    <w:rsid w:val="00587598"/>
    <w:rsid w:val="0058792D"/>
    <w:rsid w:val="005917F6"/>
    <w:rsid w:val="0059254B"/>
    <w:rsid w:val="0059501A"/>
    <w:rsid w:val="0059697E"/>
    <w:rsid w:val="00597EC5"/>
    <w:rsid w:val="005A18FA"/>
    <w:rsid w:val="005A2852"/>
    <w:rsid w:val="005A35A2"/>
    <w:rsid w:val="005A3CBC"/>
    <w:rsid w:val="005B1FDE"/>
    <w:rsid w:val="005B26BB"/>
    <w:rsid w:val="005B4472"/>
    <w:rsid w:val="005B53C6"/>
    <w:rsid w:val="005B6BBD"/>
    <w:rsid w:val="005B733A"/>
    <w:rsid w:val="005B7D55"/>
    <w:rsid w:val="005C05BC"/>
    <w:rsid w:val="005C187E"/>
    <w:rsid w:val="005C2919"/>
    <w:rsid w:val="005C49BC"/>
    <w:rsid w:val="005C4CC0"/>
    <w:rsid w:val="005C6BE6"/>
    <w:rsid w:val="005D451A"/>
    <w:rsid w:val="005D4DFC"/>
    <w:rsid w:val="005D5970"/>
    <w:rsid w:val="005E4B0F"/>
    <w:rsid w:val="005E4D4A"/>
    <w:rsid w:val="005E6CC8"/>
    <w:rsid w:val="005E70A9"/>
    <w:rsid w:val="005F0D42"/>
    <w:rsid w:val="005F31DB"/>
    <w:rsid w:val="005F4360"/>
    <w:rsid w:val="005F7752"/>
    <w:rsid w:val="006040F2"/>
    <w:rsid w:val="00604672"/>
    <w:rsid w:val="00606635"/>
    <w:rsid w:val="006110FF"/>
    <w:rsid w:val="00612922"/>
    <w:rsid w:val="0061493F"/>
    <w:rsid w:val="006157CD"/>
    <w:rsid w:val="00615ACE"/>
    <w:rsid w:val="00615B8A"/>
    <w:rsid w:val="00616BCD"/>
    <w:rsid w:val="0061771B"/>
    <w:rsid w:val="00624950"/>
    <w:rsid w:val="00625F04"/>
    <w:rsid w:val="006275BC"/>
    <w:rsid w:val="006328EE"/>
    <w:rsid w:val="00633B4F"/>
    <w:rsid w:val="006354FC"/>
    <w:rsid w:val="00635677"/>
    <w:rsid w:val="00635873"/>
    <w:rsid w:val="006359F8"/>
    <w:rsid w:val="00637834"/>
    <w:rsid w:val="00640BE1"/>
    <w:rsid w:val="00642C5C"/>
    <w:rsid w:val="0064521C"/>
    <w:rsid w:val="00645391"/>
    <w:rsid w:val="00650727"/>
    <w:rsid w:val="006508E6"/>
    <w:rsid w:val="0065127B"/>
    <w:rsid w:val="0065211B"/>
    <w:rsid w:val="006638C0"/>
    <w:rsid w:val="00663946"/>
    <w:rsid w:val="006676FF"/>
    <w:rsid w:val="00672473"/>
    <w:rsid w:val="00675803"/>
    <w:rsid w:val="0067740E"/>
    <w:rsid w:val="006776CA"/>
    <w:rsid w:val="00681015"/>
    <w:rsid w:val="00681AC8"/>
    <w:rsid w:val="00686500"/>
    <w:rsid w:val="006914FA"/>
    <w:rsid w:val="00692B3B"/>
    <w:rsid w:val="006939D9"/>
    <w:rsid w:val="00694879"/>
    <w:rsid w:val="00695CB8"/>
    <w:rsid w:val="006A0FF3"/>
    <w:rsid w:val="006A2BBF"/>
    <w:rsid w:val="006A3733"/>
    <w:rsid w:val="006B340E"/>
    <w:rsid w:val="006B3749"/>
    <w:rsid w:val="006B74E8"/>
    <w:rsid w:val="006C0D12"/>
    <w:rsid w:val="006C4183"/>
    <w:rsid w:val="006C7181"/>
    <w:rsid w:val="006C794D"/>
    <w:rsid w:val="006D305F"/>
    <w:rsid w:val="006D5AF1"/>
    <w:rsid w:val="006D6D12"/>
    <w:rsid w:val="006D73D9"/>
    <w:rsid w:val="006E0CE5"/>
    <w:rsid w:val="006E2A45"/>
    <w:rsid w:val="006E31EC"/>
    <w:rsid w:val="006E34F3"/>
    <w:rsid w:val="006F3257"/>
    <w:rsid w:val="006F6BFF"/>
    <w:rsid w:val="006F7290"/>
    <w:rsid w:val="007005FE"/>
    <w:rsid w:val="00700CDD"/>
    <w:rsid w:val="00701577"/>
    <w:rsid w:val="00703040"/>
    <w:rsid w:val="0070391A"/>
    <w:rsid w:val="00703DD9"/>
    <w:rsid w:val="00713BC3"/>
    <w:rsid w:val="00715DBD"/>
    <w:rsid w:val="00717CE0"/>
    <w:rsid w:val="00722B27"/>
    <w:rsid w:val="00724576"/>
    <w:rsid w:val="00724702"/>
    <w:rsid w:val="00726CD9"/>
    <w:rsid w:val="00740C8E"/>
    <w:rsid w:val="00740F4E"/>
    <w:rsid w:val="0074355B"/>
    <w:rsid w:val="00746F1B"/>
    <w:rsid w:val="00746F29"/>
    <w:rsid w:val="007503D0"/>
    <w:rsid w:val="00751259"/>
    <w:rsid w:val="00752F04"/>
    <w:rsid w:val="0075460E"/>
    <w:rsid w:val="00754C81"/>
    <w:rsid w:val="007555FE"/>
    <w:rsid w:val="0075783D"/>
    <w:rsid w:val="007606BA"/>
    <w:rsid w:val="00764584"/>
    <w:rsid w:val="0076627C"/>
    <w:rsid w:val="0077354B"/>
    <w:rsid w:val="00775598"/>
    <w:rsid w:val="00775DAB"/>
    <w:rsid w:val="007822F7"/>
    <w:rsid w:val="00787C13"/>
    <w:rsid w:val="00791033"/>
    <w:rsid w:val="00792116"/>
    <w:rsid w:val="00795CF0"/>
    <w:rsid w:val="007963F7"/>
    <w:rsid w:val="007967F1"/>
    <w:rsid w:val="00796F98"/>
    <w:rsid w:val="007A10A8"/>
    <w:rsid w:val="007A1B7A"/>
    <w:rsid w:val="007A3F50"/>
    <w:rsid w:val="007A669A"/>
    <w:rsid w:val="007A7704"/>
    <w:rsid w:val="007A7742"/>
    <w:rsid w:val="007B3D10"/>
    <w:rsid w:val="007B7298"/>
    <w:rsid w:val="007C1B19"/>
    <w:rsid w:val="007C2530"/>
    <w:rsid w:val="007C28CF"/>
    <w:rsid w:val="007C2C1E"/>
    <w:rsid w:val="007C327C"/>
    <w:rsid w:val="007C4C71"/>
    <w:rsid w:val="007C4F4D"/>
    <w:rsid w:val="007C6A77"/>
    <w:rsid w:val="007D1191"/>
    <w:rsid w:val="007D419C"/>
    <w:rsid w:val="007D6456"/>
    <w:rsid w:val="007D6EE2"/>
    <w:rsid w:val="007D7CDE"/>
    <w:rsid w:val="007E004D"/>
    <w:rsid w:val="007E2FBD"/>
    <w:rsid w:val="007E5287"/>
    <w:rsid w:val="007E639E"/>
    <w:rsid w:val="007E6CEB"/>
    <w:rsid w:val="007F0471"/>
    <w:rsid w:val="007F1DCA"/>
    <w:rsid w:val="007F2170"/>
    <w:rsid w:val="007F56D6"/>
    <w:rsid w:val="008044BB"/>
    <w:rsid w:val="008063AA"/>
    <w:rsid w:val="0080771B"/>
    <w:rsid w:val="00807E2F"/>
    <w:rsid w:val="0081124C"/>
    <w:rsid w:val="00814417"/>
    <w:rsid w:val="00817EFC"/>
    <w:rsid w:val="00820F14"/>
    <w:rsid w:val="00821A8C"/>
    <w:rsid w:val="00822078"/>
    <w:rsid w:val="008222CE"/>
    <w:rsid w:val="0082324A"/>
    <w:rsid w:val="00823478"/>
    <w:rsid w:val="008277AA"/>
    <w:rsid w:val="008307C4"/>
    <w:rsid w:val="008314C8"/>
    <w:rsid w:val="0083338B"/>
    <w:rsid w:val="00833B56"/>
    <w:rsid w:val="008363D1"/>
    <w:rsid w:val="00844006"/>
    <w:rsid w:val="0084412C"/>
    <w:rsid w:val="0084460E"/>
    <w:rsid w:val="00845B1A"/>
    <w:rsid w:val="00846346"/>
    <w:rsid w:val="008465CA"/>
    <w:rsid w:val="0084798F"/>
    <w:rsid w:val="00847FBB"/>
    <w:rsid w:val="00851DE8"/>
    <w:rsid w:val="00852CB4"/>
    <w:rsid w:val="0085503F"/>
    <w:rsid w:val="0086223C"/>
    <w:rsid w:val="00862BED"/>
    <w:rsid w:val="0086392C"/>
    <w:rsid w:val="00863C6F"/>
    <w:rsid w:val="008669A4"/>
    <w:rsid w:val="00872673"/>
    <w:rsid w:val="00873D4C"/>
    <w:rsid w:val="0087574D"/>
    <w:rsid w:val="00877C92"/>
    <w:rsid w:val="0088334A"/>
    <w:rsid w:val="0088677C"/>
    <w:rsid w:val="00886C36"/>
    <w:rsid w:val="00892E04"/>
    <w:rsid w:val="0089310B"/>
    <w:rsid w:val="008965A4"/>
    <w:rsid w:val="008A3912"/>
    <w:rsid w:val="008A53DF"/>
    <w:rsid w:val="008A5E1C"/>
    <w:rsid w:val="008B29B7"/>
    <w:rsid w:val="008B31DF"/>
    <w:rsid w:val="008B32B1"/>
    <w:rsid w:val="008B3CE2"/>
    <w:rsid w:val="008B4E6C"/>
    <w:rsid w:val="008B57B5"/>
    <w:rsid w:val="008C2F91"/>
    <w:rsid w:val="008C5F08"/>
    <w:rsid w:val="008D21AF"/>
    <w:rsid w:val="008D348E"/>
    <w:rsid w:val="008D600C"/>
    <w:rsid w:val="008D7DED"/>
    <w:rsid w:val="008E05F9"/>
    <w:rsid w:val="008E3D95"/>
    <w:rsid w:val="008E46D6"/>
    <w:rsid w:val="008E4A5A"/>
    <w:rsid w:val="008E4CCF"/>
    <w:rsid w:val="008E4F2F"/>
    <w:rsid w:val="008E6A6E"/>
    <w:rsid w:val="008E7398"/>
    <w:rsid w:val="008E74B4"/>
    <w:rsid w:val="008F1CBE"/>
    <w:rsid w:val="008F4773"/>
    <w:rsid w:val="009004A5"/>
    <w:rsid w:val="009008DC"/>
    <w:rsid w:val="009017C3"/>
    <w:rsid w:val="00902CA0"/>
    <w:rsid w:val="009037C7"/>
    <w:rsid w:val="00914F08"/>
    <w:rsid w:val="00917EA2"/>
    <w:rsid w:val="009203C4"/>
    <w:rsid w:val="00921214"/>
    <w:rsid w:val="00921E7D"/>
    <w:rsid w:val="00923BE4"/>
    <w:rsid w:val="009260F9"/>
    <w:rsid w:val="0092764A"/>
    <w:rsid w:val="00930647"/>
    <w:rsid w:val="00930DBC"/>
    <w:rsid w:val="009338A1"/>
    <w:rsid w:val="009347FA"/>
    <w:rsid w:val="00934B85"/>
    <w:rsid w:val="0093627B"/>
    <w:rsid w:val="00936543"/>
    <w:rsid w:val="00940E26"/>
    <w:rsid w:val="00945741"/>
    <w:rsid w:val="0094744C"/>
    <w:rsid w:val="00954DF5"/>
    <w:rsid w:val="00955AAB"/>
    <w:rsid w:val="009560CF"/>
    <w:rsid w:val="00957B8E"/>
    <w:rsid w:val="00960FE1"/>
    <w:rsid w:val="00962A21"/>
    <w:rsid w:val="0096357B"/>
    <w:rsid w:val="00963EB2"/>
    <w:rsid w:val="009701A2"/>
    <w:rsid w:val="0097258D"/>
    <w:rsid w:val="0097289E"/>
    <w:rsid w:val="00974F3E"/>
    <w:rsid w:val="00974F8F"/>
    <w:rsid w:val="00975788"/>
    <w:rsid w:val="009771AF"/>
    <w:rsid w:val="009804A6"/>
    <w:rsid w:val="00980DA6"/>
    <w:rsid w:val="009836CD"/>
    <w:rsid w:val="009839F7"/>
    <w:rsid w:val="009843DA"/>
    <w:rsid w:val="00986861"/>
    <w:rsid w:val="0098755A"/>
    <w:rsid w:val="0099121F"/>
    <w:rsid w:val="009926B7"/>
    <w:rsid w:val="00992D35"/>
    <w:rsid w:val="00994DAC"/>
    <w:rsid w:val="00995583"/>
    <w:rsid w:val="00995B6B"/>
    <w:rsid w:val="009973FA"/>
    <w:rsid w:val="009A03AB"/>
    <w:rsid w:val="009A44AD"/>
    <w:rsid w:val="009A64CF"/>
    <w:rsid w:val="009A66E8"/>
    <w:rsid w:val="009A6D5B"/>
    <w:rsid w:val="009A76D0"/>
    <w:rsid w:val="009A7F05"/>
    <w:rsid w:val="009B1379"/>
    <w:rsid w:val="009B1492"/>
    <w:rsid w:val="009B2299"/>
    <w:rsid w:val="009B47F9"/>
    <w:rsid w:val="009B5CE6"/>
    <w:rsid w:val="009B7C46"/>
    <w:rsid w:val="009C0C9D"/>
    <w:rsid w:val="009C212E"/>
    <w:rsid w:val="009C27B1"/>
    <w:rsid w:val="009C3AFE"/>
    <w:rsid w:val="009C3FC5"/>
    <w:rsid w:val="009C52AC"/>
    <w:rsid w:val="009C70AB"/>
    <w:rsid w:val="009C73D5"/>
    <w:rsid w:val="009D2A90"/>
    <w:rsid w:val="009D457E"/>
    <w:rsid w:val="009D5018"/>
    <w:rsid w:val="009D6361"/>
    <w:rsid w:val="009E14CC"/>
    <w:rsid w:val="009E22C7"/>
    <w:rsid w:val="009E3D8B"/>
    <w:rsid w:val="009E48C0"/>
    <w:rsid w:val="009E62A2"/>
    <w:rsid w:val="009E73CF"/>
    <w:rsid w:val="009F1B01"/>
    <w:rsid w:val="009F2F24"/>
    <w:rsid w:val="009F4484"/>
    <w:rsid w:val="009F49CA"/>
    <w:rsid w:val="009F61B5"/>
    <w:rsid w:val="009F6F43"/>
    <w:rsid w:val="009F7E3C"/>
    <w:rsid w:val="00A06925"/>
    <w:rsid w:val="00A07CEA"/>
    <w:rsid w:val="00A10847"/>
    <w:rsid w:val="00A11280"/>
    <w:rsid w:val="00A122B9"/>
    <w:rsid w:val="00A134DE"/>
    <w:rsid w:val="00A15966"/>
    <w:rsid w:val="00A1615D"/>
    <w:rsid w:val="00A21433"/>
    <w:rsid w:val="00A22A47"/>
    <w:rsid w:val="00A27C91"/>
    <w:rsid w:val="00A27E3D"/>
    <w:rsid w:val="00A306C2"/>
    <w:rsid w:val="00A32455"/>
    <w:rsid w:val="00A33A52"/>
    <w:rsid w:val="00A36EE6"/>
    <w:rsid w:val="00A37239"/>
    <w:rsid w:val="00A40704"/>
    <w:rsid w:val="00A41A1E"/>
    <w:rsid w:val="00A42CF3"/>
    <w:rsid w:val="00A46695"/>
    <w:rsid w:val="00A51B93"/>
    <w:rsid w:val="00A5416C"/>
    <w:rsid w:val="00A5599B"/>
    <w:rsid w:val="00A57610"/>
    <w:rsid w:val="00A57EFC"/>
    <w:rsid w:val="00A62862"/>
    <w:rsid w:val="00A62C5C"/>
    <w:rsid w:val="00A670EB"/>
    <w:rsid w:val="00A67FDD"/>
    <w:rsid w:val="00A709D2"/>
    <w:rsid w:val="00A70FA8"/>
    <w:rsid w:val="00A738DB"/>
    <w:rsid w:val="00A80197"/>
    <w:rsid w:val="00A8061C"/>
    <w:rsid w:val="00A8207A"/>
    <w:rsid w:val="00A829A1"/>
    <w:rsid w:val="00A83666"/>
    <w:rsid w:val="00A847E2"/>
    <w:rsid w:val="00A85BD1"/>
    <w:rsid w:val="00A87F3F"/>
    <w:rsid w:val="00A905E0"/>
    <w:rsid w:val="00A93913"/>
    <w:rsid w:val="00A95B04"/>
    <w:rsid w:val="00AA02A3"/>
    <w:rsid w:val="00AA2AE0"/>
    <w:rsid w:val="00AA2B51"/>
    <w:rsid w:val="00AA366A"/>
    <w:rsid w:val="00AA52CB"/>
    <w:rsid w:val="00AB016E"/>
    <w:rsid w:val="00AB1501"/>
    <w:rsid w:val="00AB203B"/>
    <w:rsid w:val="00AB30F7"/>
    <w:rsid w:val="00AB50BD"/>
    <w:rsid w:val="00AB5ACE"/>
    <w:rsid w:val="00AC0057"/>
    <w:rsid w:val="00AC012C"/>
    <w:rsid w:val="00AD0651"/>
    <w:rsid w:val="00AD154A"/>
    <w:rsid w:val="00AD1EDD"/>
    <w:rsid w:val="00AD1EEF"/>
    <w:rsid w:val="00AD4654"/>
    <w:rsid w:val="00AD735C"/>
    <w:rsid w:val="00AE7E7D"/>
    <w:rsid w:val="00AF0051"/>
    <w:rsid w:val="00AF2E6C"/>
    <w:rsid w:val="00AF3BED"/>
    <w:rsid w:val="00AF4E33"/>
    <w:rsid w:val="00AF73B8"/>
    <w:rsid w:val="00AF7A11"/>
    <w:rsid w:val="00B00A83"/>
    <w:rsid w:val="00B01635"/>
    <w:rsid w:val="00B037F6"/>
    <w:rsid w:val="00B11AAF"/>
    <w:rsid w:val="00B11BE6"/>
    <w:rsid w:val="00B12C6B"/>
    <w:rsid w:val="00B12D8E"/>
    <w:rsid w:val="00B13236"/>
    <w:rsid w:val="00B13A81"/>
    <w:rsid w:val="00B14D4E"/>
    <w:rsid w:val="00B17C3F"/>
    <w:rsid w:val="00B20316"/>
    <w:rsid w:val="00B23425"/>
    <w:rsid w:val="00B248AD"/>
    <w:rsid w:val="00B262A5"/>
    <w:rsid w:val="00B31CB5"/>
    <w:rsid w:val="00B323BC"/>
    <w:rsid w:val="00B33012"/>
    <w:rsid w:val="00B33D7E"/>
    <w:rsid w:val="00B34501"/>
    <w:rsid w:val="00B37680"/>
    <w:rsid w:val="00B4236B"/>
    <w:rsid w:val="00B42E12"/>
    <w:rsid w:val="00B43ACF"/>
    <w:rsid w:val="00B44B09"/>
    <w:rsid w:val="00B50D22"/>
    <w:rsid w:val="00B5100C"/>
    <w:rsid w:val="00B53C3A"/>
    <w:rsid w:val="00B542CB"/>
    <w:rsid w:val="00B57EC1"/>
    <w:rsid w:val="00B617B7"/>
    <w:rsid w:val="00B633B2"/>
    <w:rsid w:val="00B65896"/>
    <w:rsid w:val="00B66127"/>
    <w:rsid w:val="00B66C86"/>
    <w:rsid w:val="00B703BF"/>
    <w:rsid w:val="00B725BE"/>
    <w:rsid w:val="00B736EE"/>
    <w:rsid w:val="00B80D7B"/>
    <w:rsid w:val="00B876A2"/>
    <w:rsid w:val="00B878BE"/>
    <w:rsid w:val="00B91B16"/>
    <w:rsid w:val="00B91BB1"/>
    <w:rsid w:val="00B9389E"/>
    <w:rsid w:val="00B94938"/>
    <w:rsid w:val="00B94D9F"/>
    <w:rsid w:val="00B95D3C"/>
    <w:rsid w:val="00BA1AB0"/>
    <w:rsid w:val="00BA1C31"/>
    <w:rsid w:val="00BA581D"/>
    <w:rsid w:val="00BA5E20"/>
    <w:rsid w:val="00BA7CDE"/>
    <w:rsid w:val="00BA7EE7"/>
    <w:rsid w:val="00BB607B"/>
    <w:rsid w:val="00BB6257"/>
    <w:rsid w:val="00BC3A6B"/>
    <w:rsid w:val="00BC3C83"/>
    <w:rsid w:val="00BC4F6F"/>
    <w:rsid w:val="00BC6509"/>
    <w:rsid w:val="00BC75D3"/>
    <w:rsid w:val="00BD07A0"/>
    <w:rsid w:val="00BD1EFA"/>
    <w:rsid w:val="00BD2B28"/>
    <w:rsid w:val="00BD3C34"/>
    <w:rsid w:val="00BD53C3"/>
    <w:rsid w:val="00BD604F"/>
    <w:rsid w:val="00BD6B39"/>
    <w:rsid w:val="00BE21CC"/>
    <w:rsid w:val="00BE40C8"/>
    <w:rsid w:val="00BE51D6"/>
    <w:rsid w:val="00BF0A69"/>
    <w:rsid w:val="00BF10E2"/>
    <w:rsid w:val="00BF1F15"/>
    <w:rsid w:val="00BF2F82"/>
    <w:rsid w:val="00BF3EF5"/>
    <w:rsid w:val="00BF6E5E"/>
    <w:rsid w:val="00C03439"/>
    <w:rsid w:val="00C07D37"/>
    <w:rsid w:val="00C1070C"/>
    <w:rsid w:val="00C15EC3"/>
    <w:rsid w:val="00C17551"/>
    <w:rsid w:val="00C23763"/>
    <w:rsid w:val="00C3034C"/>
    <w:rsid w:val="00C31199"/>
    <w:rsid w:val="00C31C84"/>
    <w:rsid w:val="00C4492D"/>
    <w:rsid w:val="00C44E52"/>
    <w:rsid w:val="00C50012"/>
    <w:rsid w:val="00C5092D"/>
    <w:rsid w:val="00C509FA"/>
    <w:rsid w:val="00C517F8"/>
    <w:rsid w:val="00C5224D"/>
    <w:rsid w:val="00C53C00"/>
    <w:rsid w:val="00C54EAD"/>
    <w:rsid w:val="00C55A80"/>
    <w:rsid w:val="00C57E93"/>
    <w:rsid w:val="00C611A9"/>
    <w:rsid w:val="00C615D5"/>
    <w:rsid w:val="00C61DAA"/>
    <w:rsid w:val="00C64826"/>
    <w:rsid w:val="00C65607"/>
    <w:rsid w:val="00C6572C"/>
    <w:rsid w:val="00C708E1"/>
    <w:rsid w:val="00C709CD"/>
    <w:rsid w:val="00C711ED"/>
    <w:rsid w:val="00C72096"/>
    <w:rsid w:val="00C7245F"/>
    <w:rsid w:val="00C758E2"/>
    <w:rsid w:val="00C8035A"/>
    <w:rsid w:val="00C90EB3"/>
    <w:rsid w:val="00C9540F"/>
    <w:rsid w:val="00C954DF"/>
    <w:rsid w:val="00C96D10"/>
    <w:rsid w:val="00CA227B"/>
    <w:rsid w:val="00CA48AE"/>
    <w:rsid w:val="00CB1BAF"/>
    <w:rsid w:val="00CB52E9"/>
    <w:rsid w:val="00CB53C4"/>
    <w:rsid w:val="00CB68E1"/>
    <w:rsid w:val="00CC25AB"/>
    <w:rsid w:val="00CC2CDB"/>
    <w:rsid w:val="00CC386D"/>
    <w:rsid w:val="00CC61D8"/>
    <w:rsid w:val="00CD07D0"/>
    <w:rsid w:val="00CE1037"/>
    <w:rsid w:val="00CE5E38"/>
    <w:rsid w:val="00CE7C39"/>
    <w:rsid w:val="00CF0ACE"/>
    <w:rsid w:val="00CF0CA4"/>
    <w:rsid w:val="00CF0DB0"/>
    <w:rsid w:val="00CF0E8D"/>
    <w:rsid w:val="00CF114F"/>
    <w:rsid w:val="00CF405F"/>
    <w:rsid w:val="00CF5001"/>
    <w:rsid w:val="00CF5D97"/>
    <w:rsid w:val="00CF6870"/>
    <w:rsid w:val="00D01AF2"/>
    <w:rsid w:val="00D0248F"/>
    <w:rsid w:val="00D050E9"/>
    <w:rsid w:val="00D10261"/>
    <w:rsid w:val="00D11A0B"/>
    <w:rsid w:val="00D127D2"/>
    <w:rsid w:val="00D12FBA"/>
    <w:rsid w:val="00D137BE"/>
    <w:rsid w:val="00D137FD"/>
    <w:rsid w:val="00D1390A"/>
    <w:rsid w:val="00D179EA"/>
    <w:rsid w:val="00D20B76"/>
    <w:rsid w:val="00D25835"/>
    <w:rsid w:val="00D25EA4"/>
    <w:rsid w:val="00D26A6F"/>
    <w:rsid w:val="00D26F4A"/>
    <w:rsid w:val="00D303E5"/>
    <w:rsid w:val="00D327E6"/>
    <w:rsid w:val="00D330E7"/>
    <w:rsid w:val="00D34C28"/>
    <w:rsid w:val="00D428EC"/>
    <w:rsid w:val="00D4573D"/>
    <w:rsid w:val="00D4640D"/>
    <w:rsid w:val="00D47EEB"/>
    <w:rsid w:val="00D578DE"/>
    <w:rsid w:val="00D63AAB"/>
    <w:rsid w:val="00D65E99"/>
    <w:rsid w:val="00D67579"/>
    <w:rsid w:val="00D70960"/>
    <w:rsid w:val="00D7264F"/>
    <w:rsid w:val="00D7577F"/>
    <w:rsid w:val="00D82876"/>
    <w:rsid w:val="00D844D3"/>
    <w:rsid w:val="00D8629A"/>
    <w:rsid w:val="00D87B71"/>
    <w:rsid w:val="00D9206F"/>
    <w:rsid w:val="00D9354E"/>
    <w:rsid w:val="00D9451E"/>
    <w:rsid w:val="00D96657"/>
    <w:rsid w:val="00D96C4F"/>
    <w:rsid w:val="00D978AF"/>
    <w:rsid w:val="00DA3051"/>
    <w:rsid w:val="00DA4966"/>
    <w:rsid w:val="00DA6AB2"/>
    <w:rsid w:val="00DA6E87"/>
    <w:rsid w:val="00DA7909"/>
    <w:rsid w:val="00DB071A"/>
    <w:rsid w:val="00DB3B09"/>
    <w:rsid w:val="00DB3F68"/>
    <w:rsid w:val="00DB3F74"/>
    <w:rsid w:val="00DB4150"/>
    <w:rsid w:val="00DB4B04"/>
    <w:rsid w:val="00DB6023"/>
    <w:rsid w:val="00DC0465"/>
    <w:rsid w:val="00DC3EB4"/>
    <w:rsid w:val="00DC757C"/>
    <w:rsid w:val="00DC7593"/>
    <w:rsid w:val="00DD062A"/>
    <w:rsid w:val="00DD2EBC"/>
    <w:rsid w:val="00DE31EF"/>
    <w:rsid w:val="00DE3DD7"/>
    <w:rsid w:val="00DE436B"/>
    <w:rsid w:val="00DE4868"/>
    <w:rsid w:val="00DE638B"/>
    <w:rsid w:val="00DF0865"/>
    <w:rsid w:val="00DF36B6"/>
    <w:rsid w:val="00DF3BC7"/>
    <w:rsid w:val="00DF79A0"/>
    <w:rsid w:val="00E002C9"/>
    <w:rsid w:val="00E018B8"/>
    <w:rsid w:val="00E03B59"/>
    <w:rsid w:val="00E04D2D"/>
    <w:rsid w:val="00E07BC5"/>
    <w:rsid w:val="00E14116"/>
    <w:rsid w:val="00E150E9"/>
    <w:rsid w:val="00E1605B"/>
    <w:rsid w:val="00E16474"/>
    <w:rsid w:val="00E167FC"/>
    <w:rsid w:val="00E244D2"/>
    <w:rsid w:val="00E34868"/>
    <w:rsid w:val="00E3492D"/>
    <w:rsid w:val="00E35F23"/>
    <w:rsid w:val="00E36088"/>
    <w:rsid w:val="00E404BC"/>
    <w:rsid w:val="00E44133"/>
    <w:rsid w:val="00E47C56"/>
    <w:rsid w:val="00E50C3D"/>
    <w:rsid w:val="00E50E10"/>
    <w:rsid w:val="00E51200"/>
    <w:rsid w:val="00E5180B"/>
    <w:rsid w:val="00E5238E"/>
    <w:rsid w:val="00E531C2"/>
    <w:rsid w:val="00E5467F"/>
    <w:rsid w:val="00E55034"/>
    <w:rsid w:val="00E608E6"/>
    <w:rsid w:val="00E6181B"/>
    <w:rsid w:val="00E64707"/>
    <w:rsid w:val="00E64C5D"/>
    <w:rsid w:val="00E65972"/>
    <w:rsid w:val="00E72994"/>
    <w:rsid w:val="00E74338"/>
    <w:rsid w:val="00E80E96"/>
    <w:rsid w:val="00E82D5F"/>
    <w:rsid w:val="00E82FB7"/>
    <w:rsid w:val="00E85ACF"/>
    <w:rsid w:val="00E879B4"/>
    <w:rsid w:val="00E929E4"/>
    <w:rsid w:val="00EA03DB"/>
    <w:rsid w:val="00EA1ABD"/>
    <w:rsid w:val="00EB1EC5"/>
    <w:rsid w:val="00EB2FA0"/>
    <w:rsid w:val="00EB3E7E"/>
    <w:rsid w:val="00EB3FC4"/>
    <w:rsid w:val="00EB60FA"/>
    <w:rsid w:val="00EC4B36"/>
    <w:rsid w:val="00EC6547"/>
    <w:rsid w:val="00ED37E6"/>
    <w:rsid w:val="00ED3D09"/>
    <w:rsid w:val="00ED7A42"/>
    <w:rsid w:val="00EE00F8"/>
    <w:rsid w:val="00EE203E"/>
    <w:rsid w:val="00EE7BA0"/>
    <w:rsid w:val="00EF45D9"/>
    <w:rsid w:val="00EF54C4"/>
    <w:rsid w:val="00EF7293"/>
    <w:rsid w:val="00F0292D"/>
    <w:rsid w:val="00F03F02"/>
    <w:rsid w:val="00F04785"/>
    <w:rsid w:val="00F068E0"/>
    <w:rsid w:val="00F07CCB"/>
    <w:rsid w:val="00F106F8"/>
    <w:rsid w:val="00F120DB"/>
    <w:rsid w:val="00F12B7D"/>
    <w:rsid w:val="00F1305C"/>
    <w:rsid w:val="00F14E4C"/>
    <w:rsid w:val="00F205B2"/>
    <w:rsid w:val="00F218B7"/>
    <w:rsid w:val="00F23DBD"/>
    <w:rsid w:val="00F247CF"/>
    <w:rsid w:val="00F2704A"/>
    <w:rsid w:val="00F33DC1"/>
    <w:rsid w:val="00F37CB1"/>
    <w:rsid w:val="00F41A31"/>
    <w:rsid w:val="00F446E9"/>
    <w:rsid w:val="00F51B32"/>
    <w:rsid w:val="00F521AF"/>
    <w:rsid w:val="00F55942"/>
    <w:rsid w:val="00F60A4B"/>
    <w:rsid w:val="00F63DC7"/>
    <w:rsid w:val="00F63E32"/>
    <w:rsid w:val="00F63E40"/>
    <w:rsid w:val="00F650B2"/>
    <w:rsid w:val="00F670AB"/>
    <w:rsid w:val="00F70283"/>
    <w:rsid w:val="00F70C92"/>
    <w:rsid w:val="00F724CE"/>
    <w:rsid w:val="00F7364D"/>
    <w:rsid w:val="00F75D49"/>
    <w:rsid w:val="00F773B4"/>
    <w:rsid w:val="00F8096B"/>
    <w:rsid w:val="00F83BE9"/>
    <w:rsid w:val="00F83DD5"/>
    <w:rsid w:val="00F84CE7"/>
    <w:rsid w:val="00F85BAE"/>
    <w:rsid w:val="00F86618"/>
    <w:rsid w:val="00F90456"/>
    <w:rsid w:val="00F913B2"/>
    <w:rsid w:val="00F91B2E"/>
    <w:rsid w:val="00F93B33"/>
    <w:rsid w:val="00F96690"/>
    <w:rsid w:val="00FA0155"/>
    <w:rsid w:val="00FA6722"/>
    <w:rsid w:val="00FA77F3"/>
    <w:rsid w:val="00FA7BA6"/>
    <w:rsid w:val="00FB5847"/>
    <w:rsid w:val="00FC0A77"/>
    <w:rsid w:val="00FC0E8B"/>
    <w:rsid w:val="00FC2E4A"/>
    <w:rsid w:val="00FC4040"/>
    <w:rsid w:val="00FC6212"/>
    <w:rsid w:val="00FC68D6"/>
    <w:rsid w:val="00FC74C6"/>
    <w:rsid w:val="00FC7D7C"/>
    <w:rsid w:val="00FD0825"/>
    <w:rsid w:val="00FD1D46"/>
    <w:rsid w:val="00FD222B"/>
    <w:rsid w:val="00FD34F0"/>
    <w:rsid w:val="00FD4AD1"/>
    <w:rsid w:val="00FD4C10"/>
    <w:rsid w:val="00FD663F"/>
    <w:rsid w:val="00FD732C"/>
    <w:rsid w:val="00FD73A4"/>
    <w:rsid w:val="00FE307F"/>
    <w:rsid w:val="00FE48B1"/>
    <w:rsid w:val="00FF4049"/>
    <w:rsid w:val="00FF5A15"/>
    <w:rsid w:val="043747F9"/>
    <w:rsid w:val="04EA6D33"/>
    <w:rsid w:val="083E4E81"/>
    <w:rsid w:val="0D0D6D91"/>
    <w:rsid w:val="0D27678E"/>
    <w:rsid w:val="11177E9C"/>
    <w:rsid w:val="11E348C1"/>
    <w:rsid w:val="1502033D"/>
    <w:rsid w:val="17F7320A"/>
    <w:rsid w:val="1BB62682"/>
    <w:rsid w:val="204A107D"/>
    <w:rsid w:val="269B3A35"/>
    <w:rsid w:val="2EDD0E28"/>
    <w:rsid w:val="31EB5A79"/>
    <w:rsid w:val="3F2F68EB"/>
    <w:rsid w:val="41E27A3A"/>
    <w:rsid w:val="44AF2A32"/>
    <w:rsid w:val="45A3783E"/>
    <w:rsid w:val="492B2024"/>
    <w:rsid w:val="50D934E3"/>
    <w:rsid w:val="548A7D0A"/>
    <w:rsid w:val="56226592"/>
    <w:rsid w:val="5F28078E"/>
    <w:rsid w:val="613A7182"/>
    <w:rsid w:val="65C350AF"/>
    <w:rsid w:val="66FB3B83"/>
    <w:rsid w:val="683A085A"/>
    <w:rsid w:val="6B8334E3"/>
    <w:rsid w:val="72FF534D"/>
    <w:rsid w:val="73D73BD4"/>
    <w:rsid w:val="76902F18"/>
    <w:rsid w:val="772079C6"/>
    <w:rsid w:val="7BFF4605"/>
    <w:rsid w:val="7CDD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eastAsia="黑体"/>
      <w:bCs/>
      <w:kern w:val="44"/>
      <w:sz w:val="36"/>
      <w:szCs w:val="44"/>
    </w:rPr>
  </w:style>
  <w:style w:type="paragraph" w:styleId="4">
    <w:name w:val="heading 2"/>
    <w:basedOn w:val="1"/>
    <w:next w:val="1"/>
    <w:link w:val="29"/>
    <w:qFormat/>
    <w:uiPriority w:val="0"/>
    <w:pPr>
      <w:keepNext/>
      <w:keepLines/>
      <w:spacing w:before="260" w:after="260" w:line="416" w:lineRule="auto"/>
      <w:ind w:firstLine="200" w:firstLineChars="200"/>
      <w:outlineLvl w:val="1"/>
    </w:pPr>
    <w:rPr>
      <w:rFonts w:ascii="Arial" w:hAnsi="Arial" w:eastAsia="黑体"/>
      <w:bCs/>
      <w:sz w:val="28"/>
      <w:szCs w:val="32"/>
    </w:rPr>
  </w:style>
  <w:style w:type="paragraph" w:styleId="5">
    <w:name w:val="heading 3"/>
    <w:basedOn w:val="1"/>
    <w:next w:val="1"/>
    <w:qFormat/>
    <w:uiPriority w:val="0"/>
    <w:pPr>
      <w:keepNext/>
      <w:keepLines/>
      <w:spacing w:before="260" w:after="260" w:line="415" w:lineRule="auto"/>
      <w:ind w:firstLine="200" w:firstLineChars="200"/>
      <w:outlineLvl w:val="2"/>
    </w:pPr>
    <w:rPr>
      <w:rFonts w:eastAsia="仿宋_GB2312"/>
      <w:b/>
      <w:bCs/>
      <w:sz w:val="32"/>
      <w:szCs w:val="32"/>
    </w:rPr>
  </w:style>
  <w:style w:type="paragraph" w:styleId="6">
    <w:name w:val="heading 4"/>
    <w:basedOn w:val="1"/>
    <w:next w:val="1"/>
    <w:link w:val="4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Document Map"/>
    <w:basedOn w:val="1"/>
    <w:semiHidden/>
    <w:qFormat/>
    <w:uiPriority w:val="0"/>
    <w:pPr>
      <w:shd w:val="clear" w:color="auto" w:fill="000080"/>
    </w:pPr>
  </w:style>
  <w:style w:type="paragraph" w:styleId="8">
    <w:name w:val="Body Text Indent"/>
    <w:basedOn w:val="1"/>
    <w:qFormat/>
    <w:uiPriority w:val="0"/>
    <w:pPr>
      <w:ind w:firstLine="720" w:firstLineChars="240"/>
    </w:pPr>
    <w:rPr>
      <w:sz w:val="30"/>
    </w:rPr>
  </w:style>
  <w:style w:type="paragraph" w:styleId="9">
    <w:name w:val="toc 3"/>
    <w:basedOn w:val="1"/>
    <w:next w:val="1"/>
    <w:unhideWhenUsed/>
    <w:qFormat/>
    <w:uiPriority w:val="39"/>
    <w:pPr>
      <w:ind w:left="840" w:leftChars="400"/>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spacing w:line="360" w:lineRule="auto"/>
      <w:ind w:left="100" w:leftChars="2500" w:firstLine="200" w:firstLineChars="200"/>
    </w:pPr>
    <w:rPr>
      <w:rFonts w:eastAsia="仿宋_GB2312"/>
      <w:sz w:val="24"/>
    </w:rPr>
  </w:style>
  <w:style w:type="paragraph" w:styleId="12">
    <w:name w:val="Body Text Indent 2"/>
    <w:basedOn w:val="1"/>
    <w:qFormat/>
    <w:uiPriority w:val="0"/>
    <w:pPr>
      <w:spacing w:after="120" w:line="480" w:lineRule="auto"/>
      <w:ind w:left="420" w:leftChars="200"/>
    </w:pPr>
  </w:style>
  <w:style w:type="paragraph" w:styleId="13">
    <w:name w:val="footer"/>
    <w:basedOn w:val="1"/>
    <w:link w:val="40"/>
    <w:qFormat/>
    <w:uiPriority w:val="99"/>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footnote text"/>
    <w:basedOn w:val="1"/>
    <w:link w:val="42"/>
    <w:semiHidden/>
    <w:qFormat/>
    <w:uiPriority w:val="99"/>
    <w:pPr>
      <w:snapToGrid w:val="0"/>
      <w:jc w:val="left"/>
    </w:pPr>
    <w:rPr>
      <w:sz w:val="18"/>
      <w:szCs w:val="18"/>
    </w:rPr>
  </w:style>
  <w:style w:type="paragraph" w:styleId="17">
    <w:name w:val="Body Text Indent 3"/>
    <w:basedOn w:val="1"/>
    <w:qFormat/>
    <w:uiPriority w:val="0"/>
    <w:pPr>
      <w:spacing w:after="120" w:line="360" w:lineRule="auto"/>
      <w:ind w:left="420" w:leftChars="200" w:firstLine="200" w:firstLineChars="200"/>
    </w:pPr>
    <w:rPr>
      <w:rFonts w:eastAsia="仿宋_GB2312"/>
      <w:sz w:val="16"/>
      <w:szCs w:val="16"/>
    </w:rPr>
  </w:style>
  <w:style w:type="paragraph" w:styleId="18">
    <w:name w:val="toc 2"/>
    <w:basedOn w:val="1"/>
    <w:next w:val="1"/>
    <w:qFormat/>
    <w:uiPriority w:val="39"/>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spacing w:before="240" w:after="60"/>
      <w:jc w:val="center"/>
      <w:outlineLvl w:val="0"/>
    </w:pPr>
    <w:rPr>
      <w:rFonts w:ascii="Cambria" w:hAnsi="Cambria"/>
      <w:b/>
      <w:bCs/>
      <w:sz w:val="40"/>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99"/>
    <w:rPr>
      <w:color w:val="5D0000"/>
      <w:u w:val="none"/>
    </w:rPr>
  </w:style>
  <w:style w:type="character" w:styleId="28">
    <w:name w:val="footnote reference"/>
    <w:basedOn w:val="24"/>
    <w:unhideWhenUsed/>
    <w:qFormat/>
    <w:uiPriority w:val="99"/>
    <w:rPr>
      <w:vertAlign w:val="superscript"/>
    </w:rPr>
  </w:style>
  <w:style w:type="character" w:customStyle="1" w:styleId="29">
    <w:name w:val="标题 2 字符"/>
    <w:basedOn w:val="24"/>
    <w:link w:val="4"/>
    <w:qFormat/>
    <w:uiPriority w:val="0"/>
    <w:rPr>
      <w:rFonts w:ascii="Arial" w:hAnsi="Arial" w:eastAsia="黑体" w:cs="Times New Roman"/>
      <w:bCs/>
      <w:kern w:val="2"/>
      <w:sz w:val="28"/>
      <w:szCs w:val="32"/>
    </w:rPr>
  </w:style>
  <w:style w:type="character" w:customStyle="1" w:styleId="30">
    <w:name w:val="newsstyle=&quot;font-family:"/>
    <w:basedOn w:val="24"/>
    <w:qFormat/>
    <w:uiPriority w:val="0"/>
  </w:style>
  <w:style w:type="character" w:customStyle="1" w:styleId="31">
    <w:name w:val="11p1"/>
    <w:basedOn w:val="24"/>
    <w:qFormat/>
    <w:uiPriority w:val="0"/>
    <w:rPr>
      <w:sz w:val="21"/>
      <w:szCs w:val="21"/>
    </w:rPr>
  </w:style>
  <w:style w:type="paragraph" w:customStyle="1" w:styleId="32">
    <w:name w:val="Char Char Char Char Char Char Char Char Char1 Char"/>
    <w:basedOn w:val="7"/>
    <w:qFormat/>
    <w:uiPriority w:val="0"/>
    <w:rPr>
      <w:rFonts w:ascii="Tahoma" w:hAnsi="Tahoma"/>
      <w:sz w:val="24"/>
    </w:rPr>
  </w:style>
  <w:style w:type="paragraph" w:customStyle="1" w:styleId="33">
    <w:name w:val="Char Char Char Char"/>
    <w:basedOn w:val="1"/>
    <w:qFormat/>
    <w:uiPriority w:val="0"/>
  </w:style>
  <w:style w:type="paragraph" w:customStyle="1" w:styleId="3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
    <w:name w:val="一级正文"/>
    <w:basedOn w:val="1"/>
    <w:qFormat/>
    <w:uiPriority w:val="0"/>
    <w:pPr>
      <w:tabs>
        <w:tab w:val="left" w:pos="900"/>
      </w:tabs>
      <w:ind w:left="-2" w:leftChars="-100" w:right="210" w:hanging="208" w:hangingChars="65"/>
    </w:pPr>
    <w:rPr>
      <w:rFonts w:ascii="仿宋_GB2312" w:eastAsia="仿宋_GB2312"/>
      <w:sz w:val="32"/>
      <w:szCs w:val="32"/>
    </w:rPr>
  </w:style>
  <w:style w:type="character" w:customStyle="1" w:styleId="36">
    <w:name w:val="页眉 字符"/>
    <w:basedOn w:val="24"/>
    <w:link w:val="14"/>
    <w:qFormat/>
    <w:uiPriority w:val="0"/>
    <w:rPr>
      <w:kern w:val="2"/>
      <w:sz w:val="18"/>
      <w:szCs w:val="18"/>
    </w:rPr>
  </w:style>
  <w:style w:type="paragraph" w:styleId="37">
    <w:name w:val="List Paragraph"/>
    <w:basedOn w:val="1"/>
    <w:qFormat/>
    <w:uiPriority w:val="0"/>
    <w:pPr>
      <w:ind w:firstLine="420" w:firstLineChars="200"/>
    </w:pPr>
  </w:style>
  <w:style w:type="character" w:customStyle="1" w:styleId="38">
    <w:name w:val="标题 字符"/>
    <w:basedOn w:val="24"/>
    <w:link w:val="21"/>
    <w:qFormat/>
    <w:uiPriority w:val="0"/>
    <w:rPr>
      <w:rFonts w:ascii="Cambria" w:hAnsi="Cambria" w:cs="Times New Roman"/>
      <w:b/>
      <w:bCs/>
      <w:kern w:val="2"/>
      <w:sz w:val="40"/>
      <w:szCs w:val="32"/>
    </w:rPr>
  </w:style>
  <w:style w:type="character" w:customStyle="1" w:styleId="39">
    <w:name w:val="标题 1 字符"/>
    <w:basedOn w:val="24"/>
    <w:link w:val="3"/>
    <w:qFormat/>
    <w:uiPriority w:val="0"/>
    <w:rPr>
      <w:rFonts w:eastAsia="黑体"/>
      <w:bCs/>
      <w:kern w:val="44"/>
      <w:sz w:val="36"/>
      <w:szCs w:val="44"/>
    </w:rPr>
  </w:style>
  <w:style w:type="character" w:customStyle="1" w:styleId="40">
    <w:name w:val="页脚 字符"/>
    <w:basedOn w:val="24"/>
    <w:link w:val="13"/>
    <w:qFormat/>
    <w:uiPriority w:val="99"/>
    <w:rPr>
      <w:kern w:val="2"/>
      <w:sz w:val="18"/>
      <w:szCs w:val="18"/>
    </w:rPr>
  </w:style>
  <w:style w:type="character" w:customStyle="1" w:styleId="41">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42">
    <w:name w:val="脚注文本 字符"/>
    <w:basedOn w:val="24"/>
    <w:link w:val="16"/>
    <w:semiHidden/>
    <w:qFormat/>
    <w:uiPriority w:val="99"/>
    <w:rPr>
      <w:rFonts w:ascii="Times New Roman" w:hAnsi="Times New Roman" w:eastAsia="宋体" w:cs="Times New Roman"/>
      <w:kern w:val="2"/>
      <w:sz w:val="18"/>
      <w:szCs w:val="18"/>
    </w:rPr>
  </w:style>
  <w:style w:type="character" w:customStyle="1" w:styleId="43">
    <w:name w:val="标题 4 字符"/>
    <w:basedOn w:val="24"/>
    <w:link w:val="6"/>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9232B-CB9E-4DF7-8AFA-19ADCCF146BC}">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77</Pages>
  <Words>43272</Words>
  <Characters>44886</Characters>
  <Lines>342</Lines>
  <Paragraphs>96</Paragraphs>
  <TotalTime>1478</TotalTime>
  <ScaleCrop>false</ScaleCrop>
  <LinksUpToDate>false</LinksUpToDate>
  <CharactersWithSpaces>45443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2020-10-15T16:28:00Z</dcterms:created>
  <dc:creator>雨林木风</dc:creator>
  <cp:lastModifiedBy>CGB</cp:lastModifiedBy>
  <cp:lastPrinted>2015-10-19T07:36:00Z</cp:lastPrinted>
  <dcterms:modified xsi:type="dcterms:W3CDTF">2022-06-09T02:44:21Z</dcterms:modified>
  <dc:title>规划纲要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A0B9E3DF05114C84BB663495D6B9B01E</vt:lpwstr>
  </property>
</Properties>
</file>